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9F4" w:rsidRDefault="00D339F4" w:rsidP="00325188">
      <w:pPr>
        <w:pStyle w:val="Heading1"/>
        <w:numPr>
          <w:ilvl w:val="0"/>
          <w:numId w:val="0"/>
        </w:numPr>
        <w:spacing w:before="0"/>
      </w:pPr>
      <w:bookmarkStart w:id="0" w:name="_Toc479817851"/>
      <w:bookmarkStart w:id="1" w:name="_Toc481658227"/>
      <w:bookmarkStart w:id="2" w:name="_GoBack"/>
      <w:bookmarkEnd w:id="2"/>
      <w:r w:rsidRPr="00D339F4">
        <w:t>Including Effects of Watershed Heterogeneity in the Curve Number Method Using Variable Initial Abstraction</w:t>
      </w:r>
      <w:bookmarkEnd w:id="0"/>
      <w:bookmarkEnd w:id="1"/>
    </w:p>
    <w:p w:rsidR="00810919" w:rsidRPr="00584C1C" w:rsidRDefault="00810919" w:rsidP="00584C1C">
      <w:pPr>
        <w:spacing w:before="240"/>
      </w:pPr>
      <w:r w:rsidRPr="00584C1C">
        <w:t>Vijay P. Santikari, Lawrence C. Murdoch</w:t>
      </w:r>
    </w:p>
    <w:p w:rsidR="00810919" w:rsidRDefault="00810919" w:rsidP="00810919"/>
    <w:p w:rsidR="00810919" w:rsidRPr="00584C1C" w:rsidRDefault="00810919" w:rsidP="00810919">
      <w:pPr>
        <w:rPr>
          <w:sz w:val="20"/>
          <w:szCs w:val="20"/>
        </w:rPr>
      </w:pPr>
      <w:r w:rsidRPr="00584C1C">
        <w:rPr>
          <w:sz w:val="20"/>
          <w:szCs w:val="20"/>
        </w:rPr>
        <w:t>Department of Environmental Engineering and Earth Sciences, Clemson University, Clemson, SC 29634, USA</w:t>
      </w:r>
    </w:p>
    <w:p w:rsidR="001D53BB" w:rsidRDefault="001D53BB" w:rsidP="00810919"/>
    <w:p w:rsidR="001D53BB" w:rsidRPr="00584C1C" w:rsidRDefault="001D53BB" w:rsidP="00810919">
      <w:pPr>
        <w:rPr>
          <w:sz w:val="20"/>
          <w:szCs w:val="20"/>
        </w:rPr>
      </w:pPr>
      <w:r w:rsidRPr="00584C1C">
        <w:rPr>
          <w:i/>
          <w:sz w:val="20"/>
          <w:szCs w:val="20"/>
        </w:rPr>
        <w:t>Correspondence to</w:t>
      </w:r>
      <w:r w:rsidRPr="00584C1C">
        <w:rPr>
          <w:sz w:val="20"/>
          <w:szCs w:val="20"/>
        </w:rPr>
        <w:t>: Vijay P. Santikari (vsantik@g.clemson.edu)</w:t>
      </w:r>
    </w:p>
    <w:p w:rsidR="00D339F4" w:rsidRPr="00D339F4" w:rsidRDefault="00D339F4" w:rsidP="00D339F4">
      <w:pPr>
        <w:pStyle w:val="Heading2"/>
      </w:pPr>
      <w:bookmarkStart w:id="3" w:name="_Toc479817852"/>
      <w:bookmarkStart w:id="4" w:name="_Toc481658228"/>
      <w:r w:rsidRPr="00D339F4">
        <w:t>Abstract</w:t>
      </w:r>
      <w:bookmarkEnd w:id="3"/>
      <w:bookmarkEnd w:id="4"/>
    </w:p>
    <w:p w:rsidR="00D339F4" w:rsidRPr="00D339F4" w:rsidRDefault="00D339F4" w:rsidP="00F344AB">
      <w:pPr>
        <w:pStyle w:val="NormalNew"/>
      </w:pPr>
      <w:r w:rsidRPr="00D339F4">
        <w:t>The curve number (CN) method was developed more than half a century ago and is still used in many watershed/water quality models to estimate direct runoff from a rainfall event. Despite its popularity, the method is plagued by a conceptual problem where CN is assumed to be constant for a given set of watershed conditions, but many field observations show that CN decreases with event rainfall (</w:t>
      </w:r>
      <w:r w:rsidRPr="00D339F4">
        <w:rPr>
          <w:i/>
        </w:rPr>
        <w:t>P</w:t>
      </w:r>
      <w:r w:rsidRPr="00D339F4">
        <w:t xml:space="preserve">). Recent studies indicate that heterogeneity within the watershed is the cause of this behavior, but the governing mechanism remains poorly understood. This study shows that heterogeneity in initial abstraction, </w:t>
      </w:r>
      <w:r w:rsidRPr="00D339F4">
        <w:rPr>
          <w:i/>
          <w:iCs/>
        </w:rPr>
        <w:t>I</w:t>
      </w:r>
      <w:r w:rsidRPr="00D339F4">
        <w:rPr>
          <w:i/>
          <w:iCs/>
          <w:vertAlign w:val="subscript"/>
        </w:rPr>
        <w:t>a</w:t>
      </w:r>
      <w:r w:rsidRPr="00D339F4">
        <w:t xml:space="preserve">, can be used to explain how CN varies with </w:t>
      </w:r>
      <w:r w:rsidRPr="00D339F4">
        <w:rPr>
          <w:i/>
        </w:rPr>
        <w:t>P</w:t>
      </w:r>
      <w:r w:rsidRPr="00D339F4">
        <w:t xml:space="preserve">. By conventional definition, </w:t>
      </w:r>
      <w:r w:rsidRPr="00D339F4">
        <w:rPr>
          <w:i/>
          <w:iCs/>
        </w:rPr>
        <w:t>I</w:t>
      </w:r>
      <w:r w:rsidRPr="00D339F4">
        <w:rPr>
          <w:i/>
          <w:iCs/>
          <w:vertAlign w:val="subscript"/>
        </w:rPr>
        <w:t>a</w:t>
      </w:r>
      <w:r w:rsidRPr="00D339F4">
        <w:t xml:space="preserve"> is equal to the cumulative rainfall before the onset of runoff, and is assumed to be constant for a given set of watershed conditions. Our analysis shows that the total storage in </w:t>
      </w:r>
      <w:r w:rsidRPr="00D339F4">
        <w:rPr>
          <w:i/>
          <w:iCs/>
        </w:rPr>
        <w:t>I</w:t>
      </w:r>
      <w:r w:rsidRPr="00D339F4">
        <w:rPr>
          <w:i/>
          <w:iCs/>
          <w:vertAlign w:val="subscript"/>
        </w:rPr>
        <w:t>a</w:t>
      </w:r>
      <w:r w:rsidRPr="00D339F4">
        <w:t xml:space="preserve"> (</w:t>
      </w:r>
      <w:r w:rsidRPr="00D339F4">
        <w:rPr>
          <w:i/>
          <w:iCs/>
        </w:rPr>
        <w:t>I</w:t>
      </w:r>
      <w:r w:rsidRPr="00D339F4">
        <w:rPr>
          <w:i/>
          <w:iCs/>
          <w:vertAlign w:val="subscript"/>
        </w:rPr>
        <w:t>aT</w:t>
      </w:r>
      <w:r w:rsidRPr="00D339F4">
        <w:t xml:space="preserve">) is constant, but the effective </w:t>
      </w:r>
      <w:r w:rsidRPr="00D339F4">
        <w:rPr>
          <w:i/>
        </w:rPr>
        <w:t>I</w:t>
      </w:r>
      <w:r w:rsidRPr="00D339F4">
        <w:rPr>
          <w:i/>
          <w:vertAlign w:val="subscript"/>
        </w:rPr>
        <w:t>a</w:t>
      </w:r>
      <w:r w:rsidRPr="00D339F4">
        <w:t xml:space="preserve"> varies with </w:t>
      </w:r>
      <w:r w:rsidRPr="00D339F4">
        <w:rPr>
          <w:i/>
        </w:rPr>
        <w:t>P</w:t>
      </w:r>
      <w:r w:rsidRPr="00D339F4">
        <w:t>, and is equal to the filled portion of</w:t>
      </w:r>
      <w:r w:rsidRPr="00D339F4">
        <w:rPr>
          <w:i/>
          <w:iCs/>
        </w:rPr>
        <w:t xml:space="preserve"> I</w:t>
      </w:r>
      <w:r w:rsidRPr="00D339F4">
        <w:rPr>
          <w:i/>
          <w:iCs/>
          <w:vertAlign w:val="subscript"/>
        </w:rPr>
        <w:t>aT</w:t>
      </w:r>
      <w:r w:rsidRPr="00D339F4">
        <w:rPr>
          <w:vertAlign w:val="subscript"/>
        </w:rPr>
        <w:t>,</w:t>
      </w:r>
      <w:r w:rsidRPr="00D339F4">
        <w:t xml:space="preserve"> which we call</w:t>
      </w:r>
      <w:r w:rsidRPr="00D339F4">
        <w:rPr>
          <w:i/>
          <w:iCs/>
        </w:rPr>
        <w:t xml:space="preserve"> I</w:t>
      </w:r>
      <w:r w:rsidRPr="00D339F4">
        <w:rPr>
          <w:i/>
          <w:iCs/>
          <w:vertAlign w:val="subscript"/>
        </w:rPr>
        <w:t>aF</w:t>
      </w:r>
      <w:r w:rsidRPr="00D339F4">
        <w:t xml:space="preserve">. CN calculated using </w:t>
      </w:r>
      <w:r w:rsidRPr="00D339F4">
        <w:rPr>
          <w:i/>
          <w:iCs/>
        </w:rPr>
        <w:t>I</w:t>
      </w:r>
      <w:r w:rsidRPr="00D339F4">
        <w:rPr>
          <w:i/>
          <w:iCs/>
          <w:vertAlign w:val="subscript"/>
        </w:rPr>
        <w:t>aF</w:t>
      </w:r>
      <w:r w:rsidRPr="00D339F4">
        <w:t xml:space="preserve"> varies with </w:t>
      </w:r>
      <w:r w:rsidRPr="00D339F4">
        <w:rPr>
          <w:i/>
        </w:rPr>
        <w:t>P</w:t>
      </w:r>
      <w:r w:rsidRPr="00D339F4">
        <w:t xml:space="preserve"> similar to published field observations. This motivated modifications to the CN method, called Variable </w:t>
      </w:r>
      <w:r w:rsidRPr="00D339F4">
        <w:rPr>
          <w:i/>
          <w:iCs/>
        </w:rPr>
        <w:t>I</w:t>
      </w:r>
      <w:r w:rsidRPr="00D339F4">
        <w:rPr>
          <w:i/>
          <w:iCs/>
          <w:vertAlign w:val="subscript"/>
        </w:rPr>
        <w:t>a</w:t>
      </w:r>
      <w:r w:rsidRPr="00D339F4">
        <w:t xml:space="preserve"> Models (VIMs), which replace </w:t>
      </w:r>
      <w:r w:rsidRPr="00D339F4">
        <w:rPr>
          <w:i/>
          <w:iCs/>
        </w:rPr>
        <w:t>I</w:t>
      </w:r>
      <w:r w:rsidRPr="00D339F4">
        <w:rPr>
          <w:i/>
          <w:iCs/>
          <w:vertAlign w:val="subscript"/>
        </w:rPr>
        <w:t>a</w:t>
      </w:r>
      <w:r w:rsidRPr="00D339F4">
        <w:t xml:space="preserve"> with </w:t>
      </w:r>
      <w:r w:rsidRPr="00D339F4">
        <w:rPr>
          <w:i/>
          <w:iCs/>
        </w:rPr>
        <w:t>I</w:t>
      </w:r>
      <w:r w:rsidRPr="00D339F4">
        <w:rPr>
          <w:i/>
          <w:iCs/>
          <w:vertAlign w:val="subscript"/>
        </w:rPr>
        <w:t>aF</w:t>
      </w:r>
      <w:r w:rsidR="000F0A3B">
        <w:t>. VIMs were evaluated against Conventional M</w:t>
      </w:r>
      <w:r w:rsidRPr="00D339F4">
        <w:t>odels CM0.2 (</w:t>
      </w:r>
      <w:r w:rsidRPr="00D339F4">
        <w:rPr>
          <w:i/>
        </w:rPr>
        <w:t>λ</w:t>
      </w:r>
      <w:r w:rsidRPr="00D339F4">
        <w:t xml:space="preserve"> = 0.2) and CMλ (calibrated </w:t>
      </w:r>
      <w:r w:rsidRPr="00D339F4">
        <w:rPr>
          <w:i/>
        </w:rPr>
        <w:t>λ</w:t>
      </w:r>
      <w:r w:rsidRPr="00D339F4">
        <w:t xml:space="preserve">) in their ability to predict runoff data generated using a distributed parameter CN model. The performance of CM0.2 was the poorest whereas those of the VIMs </w:t>
      </w:r>
      <w:r w:rsidRPr="00F17E61">
        <w:rPr>
          <w:rStyle w:val="LineNumber"/>
        </w:rPr>
        <w:t>were</w:t>
      </w:r>
      <w:r w:rsidRPr="00D339F4">
        <w:t xml:space="preserve"> the best in predicting overall runoff and watershed heterogeneity. VIMs also predicted the runoff from smaller events better than the CMs, and eliminated the false prediction of zero-runoffs, which is a common shortcoming of the CMs. We conclude that including variable </w:t>
      </w:r>
      <w:r w:rsidRPr="00D339F4">
        <w:rPr>
          <w:i/>
          <w:iCs/>
        </w:rPr>
        <w:t>I</w:t>
      </w:r>
      <w:r w:rsidRPr="00D339F4">
        <w:rPr>
          <w:i/>
          <w:iCs/>
          <w:vertAlign w:val="subscript"/>
        </w:rPr>
        <w:t>a</w:t>
      </w:r>
      <w:r w:rsidRPr="00D339F4">
        <w:t xml:space="preserve"> accounts for heterogeneity and improves the performance of the CN method while retaining its simplicity.</w:t>
      </w:r>
    </w:p>
    <w:p w:rsidR="00D339F4" w:rsidRPr="00D339F4" w:rsidRDefault="00014A22" w:rsidP="00D339F4">
      <w:pPr>
        <w:pStyle w:val="Heading2"/>
      </w:pPr>
      <w:bookmarkStart w:id="5" w:name="_Toc479817853"/>
      <w:bookmarkStart w:id="6" w:name="_Toc481658229"/>
      <w:r>
        <w:t>1.</w:t>
      </w:r>
      <w:r w:rsidR="00D339F4" w:rsidRPr="00D339F4">
        <w:t xml:space="preserve"> Introduction</w:t>
      </w:r>
      <w:bookmarkEnd w:id="5"/>
      <w:bookmarkEnd w:id="6"/>
    </w:p>
    <w:p w:rsidR="00341A5E" w:rsidRPr="00D339F4" w:rsidRDefault="00D339F4" w:rsidP="00747E2F">
      <w:pPr>
        <w:pStyle w:val="NormalNew"/>
      </w:pPr>
      <w:r w:rsidRPr="00D339F4">
        <w:t>The estimation of runoff from a rainfall event is of primary importance in applied hydrology. It is necessary in the engineering design of small structures, post-event appraisals, environmental impact work, and other applications (Hawkins, 1993). One of the most popular techniques used for this purpose is the Curve Number method, which has been in use for more than half a century (</w:t>
      </w:r>
      <w:r w:rsidR="00EA210F">
        <w:rPr>
          <w:rFonts w:eastAsiaTheme="minorHAnsi"/>
          <w:szCs w:val="24"/>
        </w:rPr>
        <w:t xml:space="preserve">D’Asaro and Grillone, 2012; </w:t>
      </w:r>
      <w:r w:rsidR="00EA210F" w:rsidRPr="00A936AB">
        <w:rPr>
          <w:color w:val="000000" w:themeColor="text1"/>
        </w:rPr>
        <w:t>Hawkins et al., 2008</w:t>
      </w:r>
      <w:r w:rsidR="00EA210F">
        <w:rPr>
          <w:color w:val="000000" w:themeColor="text1"/>
        </w:rPr>
        <w:t xml:space="preserve">; Kent, 1968; </w:t>
      </w:r>
      <w:r w:rsidR="00EA210F" w:rsidRPr="00D24485">
        <w:rPr>
          <w:color w:val="000000" w:themeColor="text1"/>
        </w:rPr>
        <w:t>Ponce and Hawkins, 1996</w:t>
      </w:r>
      <w:r w:rsidR="00EA210F">
        <w:rPr>
          <w:color w:val="000000" w:themeColor="text1"/>
        </w:rPr>
        <w:t xml:space="preserve">; </w:t>
      </w:r>
      <w:r w:rsidR="00EA210F" w:rsidRPr="00466B2A">
        <w:rPr>
          <w:color w:val="000000" w:themeColor="text1"/>
        </w:rPr>
        <w:t>Rallison and Miller, 1982</w:t>
      </w:r>
      <w:r w:rsidR="00EA210F">
        <w:rPr>
          <w:color w:val="000000" w:themeColor="text1"/>
        </w:rPr>
        <w:t xml:space="preserve">; </w:t>
      </w:r>
      <w:r w:rsidRPr="00D339F4">
        <w:t>Soil Conservation Service, 1956</w:t>
      </w:r>
      <w:r w:rsidR="00EA210F">
        <w:t xml:space="preserve">; </w:t>
      </w:r>
      <w:r w:rsidR="00EA210F" w:rsidRPr="00D339F4">
        <w:t>Soil Conservation Servic</w:t>
      </w:r>
      <w:r w:rsidR="00EA210F">
        <w:t>e, 1972</w:t>
      </w:r>
      <w:r w:rsidRPr="00D339F4">
        <w:t>). The method uses a parameter called Curve Number (CN), which is assumed to depend mainly on land cover, soil types, and antecedent conditions within a watershed.</w:t>
      </w:r>
    </w:p>
    <w:p w:rsidR="00341A5E" w:rsidRPr="00D339F4" w:rsidRDefault="00D339F4" w:rsidP="00747E2F">
      <w:pPr>
        <w:pStyle w:val="NormalNew"/>
      </w:pPr>
      <w:r w:rsidRPr="00D339F4">
        <w:lastRenderedPageBreak/>
        <w:t xml:space="preserve">Curve Number varies spatially due to watershed heterogeneity, and temporally due to changes in soil moisture, land cover, temperature, and other processes (Hawkins et al., 2008; Ponce and Hawkins, 1996; Rallison and Miller, 1982). CN also varies with the magnitude </w:t>
      </w:r>
      <w:r w:rsidR="00BD1DBE">
        <w:rPr>
          <w:rFonts w:eastAsiaTheme="minorHAnsi"/>
          <w:szCs w:val="24"/>
        </w:rPr>
        <w:t xml:space="preserve">(D’Asaro and Grillone, 2012; Hawkins, 1993; </w:t>
      </w:r>
      <w:r w:rsidR="00BD1DBE" w:rsidRPr="00056229">
        <w:rPr>
          <w:rFonts w:eastAsiaTheme="minorHAnsi"/>
          <w:szCs w:val="24"/>
        </w:rPr>
        <w:t>Hjelmfelt</w:t>
      </w:r>
      <w:r w:rsidR="00BD1DBE">
        <w:rPr>
          <w:rFonts w:eastAsiaTheme="minorHAnsi"/>
          <w:szCs w:val="24"/>
        </w:rPr>
        <w:t xml:space="preserve"> et al., 2001) </w:t>
      </w:r>
      <w:r w:rsidRPr="00D339F4">
        <w:t>and spatiotemporal distribution of rainfall</w:t>
      </w:r>
      <w:r w:rsidR="00BD1DBE">
        <w:t xml:space="preserve"> </w:t>
      </w:r>
      <w:r w:rsidR="00BD1DBE">
        <w:rPr>
          <w:rFonts w:eastAsiaTheme="minorHAnsi"/>
          <w:szCs w:val="24"/>
        </w:rPr>
        <w:t>(</w:t>
      </w:r>
      <w:r w:rsidR="00BD1DBE" w:rsidRPr="0046794A">
        <w:rPr>
          <w:rFonts w:eastAsiaTheme="minorHAnsi"/>
          <w:szCs w:val="24"/>
        </w:rPr>
        <w:t>Hawkins et al., 2008</w:t>
      </w:r>
      <w:r w:rsidR="00BD1DBE">
        <w:rPr>
          <w:rFonts w:eastAsiaTheme="minorHAnsi"/>
          <w:szCs w:val="24"/>
        </w:rPr>
        <w:t xml:space="preserve">; </w:t>
      </w:r>
      <w:r w:rsidR="00BD1DBE" w:rsidRPr="00017B36">
        <w:rPr>
          <w:lang w:bidi="te-IN"/>
        </w:rPr>
        <w:t>Van Mullem, 1997</w:t>
      </w:r>
      <w:r w:rsidR="00BD1DBE">
        <w:rPr>
          <w:rFonts w:eastAsiaTheme="minorHAnsi"/>
          <w:szCs w:val="24"/>
        </w:rPr>
        <w:t>)</w:t>
      </w:r>
      <w:r w:rsidRPr="00D339F4">
        <w:t>. When heterogeneity is known at sufficient detail, CN variation can be accounted by using a distributed parameter model</w:t>
      </w:r>
      <w:r w:rsidR="00E83A00" w:rsidRPr="00E83A00">
        <w:t>, e.g. SWAT (Gassman et al., 2007)</w:t>
      </w:r>
      <w:r w:rsidRPr="00D339F4">
        <w:t>. Otherwise this approach can introduce more parameters than can be reliably estimated from the available data</w:t>
      </w:r>
      <w:r w:rsidR="00E83A00">
        <w:t xml:space="preserve"> (Soulis and Valiantzas, </w:t>
      </w:r>
      <w:r w:rsidR="00E83A00" w:rsidRPr="001147E4">
        <w:t>2013)</w:t>
      </w:r>
      <w:r w:rsidRPr="00D339F4">
        <w:t>, and</w:t>
      </w:r>
      <w:r w:rsidR="00E83A00">
        <w:t xml:space="preserve"> can potentially</w:t>
      </w:r>
      <w:r w:rsidRPr="00D339F4">
        <w:t xml:space="preserve"> cause large uncertainties in the predicted runoff. There are several ways to account for temporal variation of CN, each with its own advantages and shortcomings </w:t>
      </w:r>
      <w:r w:rsidR="00577DB4">
        <w:t>(</w:t>
      </w:r>
      <w:r w:rsidR="00EA3686">
        <w:t>Santikari, 2017</w:t>
      </w:r>
      <w:r w:rsidRPr="00D339F4">
        <w:t>). CN variation with the distribution of rainfall is usually ignored</w:t>
      </w:r>
      <w:r w:rsidR="00B10E7D">
        <w:t xml:space="preserve"> </w:t>
      </w:r>
      <w:r w:rsidR="00B10E7D">
        <w:rPr>
          <w:rFonts w:eastAsiaTheme="minorHAnsi"/>
          <w:szCs w:val="24"/>
        </w:rPr>
        <w:t>(</w:t>
      </w:r>
      <w:r w:rsidR="00B10E7D" w:rsidRPr="0046794A">
        <w:rPr>
          <w:rFonts w:eastAsiaTheme="minorHAnsi"/>
          <w:szCs w:val="24"/>
        </w:rPr>
        <w:t>Hawkins et al., 2008</w:t>
      </w:r>
      <w:r w:rsidR="00B10E7D">
        <w:rPr>
          <w:rFonts w:eastAsiaTheme="minorHAnsi"/>
          <w:szCs w:val="24"/>
        </w:rPr>
        <w:t>)</w:t>
      </w:r>
      <w:r w:rsidRPr="00D339F4">
        <w:t>. CN method is most commonly applied as an event-scale lumped-parameter model, which is simple but also limited in its ability to account for the variations of CN. This diminishes the accuracy of its runoff predictions</w:t>
      </w:r>
      <w:r w:rsidR="00B10E7D">
        <w:t xml:space="preserve"> </w:t>
      </w:r>
      <w:r w:rsidR="00B10E7D">
        <w:rPr>
          <w:rFonts w:eastAsiaTheme="minorHAnsi"/>
          <w:szCs w:val="24"/>
        </w:rPr>
        <w:t xml:space="preserve">(e.g. </w:t>
      </w:r>
      <w:r w:rsidR="00B10E7D" w:rsidRPr="00335065">
        <w:rPr>
          <w:rFonts w:eastAsiaTheme="minorHAnsi"/>
          <w:szCs w:val="24"/>
        </w:rPr>
        <w:t>Soulis and Valianzas, 2012</w:t>
      </w:r>
      <w:r w:rsidR="00B10E7D">
        <w:rPr>
          <w:rFonts w:eastAsiaTheme="minorHAnsi"/>
          <w:szCs w:val="24"/>
        </w:rPr>
        <w:t>)</w:t>
      </w:r>
      <w:r w:rsidRPr="00D339F4">
        <w:t>.</w:t>
      </w:r>
    </w:p>
    <w:p w:rsidR="00D339F4" w:rsidRPr="00D339F4" w:rsidRDefault="00D339F4" w:rsidP="00341A5E">
      <w:pPr>
        <w:pStyle w:val="NormalNew"/>
      </w:pPr>
      <w:r w:rsidRPr="00D339F4">
        <w:t>The objective of this work is to improve the event-scale lumped-parameter application of the CN method by describing an approach for incorporating the spatiotemporal variations of CN. The investigation is described in two papers</w:t>
      </w:r>
      <w:r w:rsidR="0094443F">
        <w:t>, which build on Santikari (2017)</w:t>
      </w:r>
      <w:r w:rsidRPr="00D339F4">
        <w:t xml:space="preserve">. In this paper, effects of spatial variation of CN (heterogeneity) at the watershed scale are analyzed. Insights gained from this analysis are used to create modified models that account for heterogeneity. The modified models are evaluated using the runoff generated by a distributed parameter model applied to a hypothetical heterogeneous watershed. In a companion paper </w:t>
      </w:r>
      <w:r w:rsidR="00577DB4">
        <w:t>(Santikari and Murdoch, 2018</w:t>
      </w:r>
      <w:r w:rsidRPr="00D339F4">
        <w:t>)</w:t>
      </w:r>
      <w:r w:rsidR="00FA29DA">
        <w:t xml:space="preserve"> and in Santikari (2017)</w:t>
      </w:r>
      <w:r w:rsidRPr="00D339F4">
        <w:t>, the modified models are refined by including an approach that accounts for the temporal variation of CN using antecedent moisture. The refined models, which account for spatial and temporal variability, are then evaluated using data from real watersheds.</w:t>
      </w:r>
    </w:p>
    <w:p w:rsidR="00D339F4" w:rsidRPr="00D339F4" w:rsidRDefault="00D339F4" w:rsidP="00D339F4">
      <w:pPr>
        <w:pStyle w:val="Heading3"/>
      </w:pPr>
      <w:bookmarkStart w:id="7" w:name="_Toc479817854"/>
      <w:bookmarkStart w:id="8" w:name="_Toc481658230"/>
      <w:r w:rsidRPr="00D339F4">
        <w:t>1.1. Background</w:t>
      </w:r>
      <w:bookmarkEnd w:id="7"/>
      <w:bookmarkEnd w:id="8"/>
    </w:p>
    <w:p w:rsidR="004849ED" w:rsidRPr="00D339F4" w:rsidRDefault="00D339F4" w:rsidP="00341A5E">
      <w:pPr>
        <w:pStyle w:val="NormalNew"/>
      </w:pPr>
      <w:r w:rsidRPr="00D339F4">
        <w:t>The CN method assumes that a rainfall event produces runoff (</w:t>
      </w:r>
      <w:r w:rsidRPr="00D339F4">
        <w:rPr>
          <w:i/>
        </w:rPr>
        <w:t>Q</w:t>
      </w:r>
      <w:r w:rsidRPr="00D339F4">
        <w:t>) when the event rainfall (</w:t>
      </w:r>
      <w:r w:rsidRPr="00D339F4">
        <w:rPr>
          <w:i/>
        </w:rPr>
        <w:t>P</w:t>
      </w:r>
      <w:r w:rsidRPr="00D339F4">
        <w:t>) exceeds the initial abstraction (</w:t>
      </w:r>
      <w:r w:rsidRPr="00D339F4">
        <w:rPr>
          <w:i/>
          <w:iCs/>
        </w:rPr>
        <w:t>I</w:t>
      </w:r>
      <w:r w:rsidRPr="00D339F4">
        <w:rPr>
          <w:i/>
          <w:iCs/>
          <w:vertAlign w:val="subscript"/>
        </w:rPr>
        <w:t>a</w:t>
      </w:r>
      <w:r w:rsidRPr="00D339F4">
        <w:t xml:space="preserve">). </w:t>
      </w:r>
      <w:r w:rsidRPr="00D339F4">
        <w:rPr>
          <w:i/>
          <w:iCs/>
        </w:rPr>
        <w:t>I</w:t>
      </w:r>
      <w:r w:rsidRPr="00D339F4">
        <w:rPr>
          <w:i/>
          <w:iCs/>
          <w:vertAlign w:val="subscript"/>
        </w:rPr>
        <w:t>a</w:t>
      </w:r>
      <w:r w:rsidRPr="00D339F4">
        <w:t xml:space="preserve"> includes interception storage (by tree canopy, roof tops and such), early infiltration, and surface depression storage. The effective rainfall, </w:t>
      </w:r>
      <w:r w:rsidRPr="00D339F4">
        <w:rPr>
          <w:i/>
        </w:rPr>
        <w:t>P</w:t>
      </w:r>
      <w:r w:rsidRPr="00D339F4">
        <w:t>-</w:t>
      </w:r>
      <w:r w:rsidRPr="00D339F4">
        <w:rPr>
          <w:i/>
          <w:iCs/>
        </w:rPr>
        <w:t xml:space="preserve"> I</w:t>
      </w:r>
      <w:r w:rsidRPr="00D339F4">
        <w:rPr>
          <w:i/>
          <w:iCs/>
          <w:vertAlign w:val="subscript"/>
        </w:rPr>
        <w:t>a</w:t>
      </w:r>
      <w:r w:rsidRPr="00D339F4">
        <w:t xml:space="preserve">, is partitioned between </w:t>
      </w:r>
      <w:r w:rsidRPr="00D339F4">
        <w:rPr>
          <w:i/>
        </w:rPr>
        <w:t>Q</w:t>
      </w:r>
      <w:r w:rsidRPr="00D339F4">
        <w:t xml:space="preserve"> and further infiltration (</w:t>
      </w:r>
      <w:r w:rsidRPr="00D339F4">
        <w:rPr>
          <w:i/>
        </w:rPr>
        <w:t>F</w:t>
      </w:r>
      <w:r w:rsidRPr="00D339F4">
        <w:t>). This is given by mass balance as</w:t>
      </w:r>
    </w:p>
    <w:p w:rsidR="00D339F4" w:rsidRPr="00D339F4" w:rsidRDefault="00D339F4" w:rsidP="00887312">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1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2pt;height:18pt">
            <v:imagedata r:id="rId8" o:title=""/>
          </v:shape>
        </w:pict>
      </w:r>
      <w:r w:rsidRPr="00D339F4">
        <w:rPr>
          <w:rFonts w:eastAsia="Calibri"/>
          <w:szCs w:val="22"/>
        </w:rPr>
        <w:t xml:space="preserve"> </w:t>
      </w:r>
      <w:r w:rsidRPr="00D339F4">
        <w:rPr>
          <w:rFonts w:eastAsia="Calibri"/>
          <w:szCs w:val="22"/>
        </w:rPr>
        <w:tab/>
      </w:r>
      <w:bookmarkStart w:id="9" w:name="ZEqnNum401210"/>
      <w:r w:rsidRPr="00887312">
        <w:rPr>
          <w:rFonts w:eastAsia="Calibri"/>
          <w:sz w:val="20"/>
          <w:szCs w:val="20"/>
        </w:rPr>
        <w:t>(</w:t>
      </w:r>
      <w:r w:rsidR="00B615A2">
        <w:rPr>
          <w:rFonts w:eastAsia="Calibri"/>
          <w:noProof/>
          <w:sz w:val="20"/>
          <w:szCs w:val="20"/>
        </w:rPr>
        <w:t>1</w:t>
      </w:r>
      <w:r w:rsidRPr="00887312">
        <w:rPr>
          <w:rFonts w:eastAsia="Calibri"/>
          <w:sz w:val="20"/>
          <w:szCs w:val="20"/>
        </w:rPr>
        <w:t>)</w:t>
      </w:r>
      <w:bookmarkEnd w:id="9"/>
    </w:p>
    <w:p w:rsidR="001E6CE3" w:rsidRPr="00D339F4" w:rsidRDefault="00D339F4" w:rsidP="00341A5E">
      <w:pPr>
        <w:pStyle w:val="NormalNew"/>
      </w:pPr>
      <w:r w:rsidRPr="00D339F4">
        <w:t xml:space="preserve">Both </w:t>
      </w:r>
      <w:r w:rsidRPr="00D339F4">
        <w:rPr>
          <w:i/>
        </w:rPr>
        <w:t>F</w:t>
      </w:r>
      <w:r w:rsidRPr="00D339F4">
        <w:t xml:space="preserve"> and </w:t>
      </w:r>
      <w:r w:rsidRPr="00D339F4">
        <w:rPr>
          <w:i/>
        </w:rPr>
        <w:t>Q</w:t>
      </w:r>
      <w:r w:rsidRPr="00D339F4">
        <w:t xml:space="preserve"> are zero when </w:t>
      </w:r>
      <w:r w:rsidRPr="00D339F4">
        <w:rPr>
          <w:i/>
          <w:iCs/>
        </w:rPr>
        <w:t>P</w:t>
      </w:r>
      <w:r w:rsidRPr="00D339F4">
        <w:t xml:space="preserve"> ≤ </w:t>
      </w:r>
      <w:r w:rsidRPr="00D339F4">
        <w:rPr>
          <w:i/>
          <w:iCs/>
        </w:rPr>
        <w:t>I</w:t>
      </w:r>
      <w:r w:rsidRPr="00D339F4">
        <w:rPr>
          <w:i/>
          <w:iCs/>
          <w:vertAlign w:val="subscript"/>
        </w:rPr>
        <w:t>a</w:t>
      </w:r>
      <w:r w:rsidRPr="00D339F4">
        <w:t xml:space="preserve">, and both increase with </w:t>
      </w:r>
      <w:r w:rsidRPr="00D339F4">
        <w:rPr>
          <w:i/>
          <w:iCs/>
        </w:rPr>
        <w:t>P</w:t>
      </w:r>
      <w:r w:rsidRPr="00D339F4">
        <w:t xml:space="preserve"> when </w:t>
      </w:r>
      <w:r w:rsidRPr="00D339F4">
        <w:rPr>
          <w:i/>
          <w:iCs/>
        </w:rPr>
        <w:t>P</w:t>
      </w:r>
      <w:r w:rsidRPr="00D339F4">
        <w:t xml:space="preserve"> &gt; </w:t>
      </w:r>
      <w:r w:rsidRPr="00D339F4">
        <w:rPr>
          <w:i/>
          <w:iCs/>
        </w:rPr>
        <w:t>I</w:t>
      </w:r>
      <w:r w:rsidRPr="00D339F4">
        <w:rPr>
          <w:i/>
          <w:iCs/>
          <w:vertAlign w:val="subscript"/>
        </w:rPr>
        <w:t>a</w:t>
      </w:r>
      <w:r w:rsidRPr="00D339F4">
        <w:rPr>
          <w:iCs/>
        </w:rPr>
        <w:t xml:space="preserve">. It is assumed that </w:t>
      </w:r>
      <w:r w:rsidRPr="00D339F4">
        <w:rPr>
          <w:i/>
          <w:iCs/>
        </w:rPr>
        <w:t>F</w:t>
      </w:r>
      <w:r w:rsidRPr="00D339F4">
        <w:rPr>
          <w:iCs/>
        </w:rPr>
        <w:t xml:space="preserve"> has an upper limit, which is referred to as the </w:t>
      </w:r>
      <w:r w:rsidRPr="00D339F4">
        <w:t>potential maximum retention (</w:t>
      </w:r>
      <w:r w:rsidRPr="00D339F4">
        <w:rPr>
          <w:i/>
        </w:rPr>
        <w:t>S</w:t>
      </w:r>
      <w:r w:rsidRPr="00D339F4">
        <w:t xml:space="preserve">). In other words, </w:t>
      </w:r>
      <w:r w:rsidRPr="00D339F4">
        <w:rPr>
          <w:i/>
        </w:rPr>
        <w:t>S</w:t>
      </w:r>
      <w:r w:rsidRPr="00D339F4">
        <w:t xml:space="preserve"> is the total storage available for infil</w:t>
      </w:r>
      <w:r w:rsidR="00341A5E">
        <w:t>t</w:t>
      </w:r>
      <w:r w:rsidR="001E6CE3">
        <w:t>ration after the runoff begins.</w:t>
      </w:r>
    </w:p>
    <w:p w:rsidR="00D339F4" w:rsidRPr="00D339F4" w:rsidRDefault="00D339F4" w:rsidP="00341A5E">
      <w:pPr>
        <w:pStyle w:val="NormalNew"/>
      </w:pPr>
      <w:r w:rsidRPr="00D339F4">
        <w:t>The conceptual basis that defines the curve number method comes from the following assumption (Hawkins et al., 2008; NRCS, 2003; Ponce and Hawkins, 1996; Rallison and Miller, 1982; Woodward et al., 2002):</w:t>
      </w:r>
    </w:p>
    <w:p w:rsidR="00D339F4" w:rsidRPr="00D339F4" w:rsidRDefault="00D339F4" w:rsidP="00887312">
      <w:pPr>
        <w:tabs>
          <w:tab w:val="center" w:pos="4962"/>
          <w:tab w:val="right" w:pos="10348"/>
        </w:tabs>
        <w:spacing w:line="480" w:lineRule="auto"/>
        <w:ind w:firstLine="720"/>
        <w:rPr>
          <w:rFonts w:eastAsia="Calibri"/>
          <w:szCs w:val="22"/>
        </w:rPr>
      </w:pPr>
      <w:r w:rsidRPr="00D339F4">
        <w:rPr>
          <w:rFonts w:eastAsia="Calibri"/>
          <w:szCs w:val="22"/>
        </w:rPr>
        <w:lastRenderedPageBreak/>
        <w:tab/>
      </w:r>
      <w:r w:rsidR="00CB311D">
        <w:rPr>
          <w:rFonts w:eastAsia="Calibri"/>
          <w:position w:val="-30"/>
          <w:szCs w:val="22"/>
        </w:rPr>
        <w:pict>
          <v:shape id="_x0000_i1026" type="#_x0000_t75" style="width:51pt;height:33pt">
            <v:imagedata r:id="rId9" o:title=""/>
          </v:shape>
        </w:pict>
      </w:r>
      <w:r w:rsidRPr="00D339F4">
        <w:rPr>
          <w:rFonts w:eastAsia="Calibri"/>
          <w:szCs w:val="22"/>
        </w:rPr>
        <w:tab/>
      </w:r>
      <w:bookmarkStart w:id="10" w:name="ZEqnNum581033"/>
      <w:r w:rsidRPr="00887312">
        <w:rPr>
          <w:rFonts w:eastAsia="Calibri"/>
          <w:sz w:val="20"/>
          <w:szCs w:val="20"/>
        </w:rPr>
        <w:t>(</w:t>
      </w:r>
      <w:r w:rsidR="00B615A2">
        <w:rPr>
          <w:rFonts w:eastAsia="Calibri"/>
          <w:noProof/>
          <w:sz w:val="20"/>
          <w:szCs w:val="20"/>
        </w:rPr>
        <w:t>2</w:t>
      </w:r>
      <w:r w:rsidRPr="00887312">
        <w:rPr>
          <w:rFonts w:eastAsia="Calibri"/>
          <w:sz w:val="20"/>
          <w:szCs w:val="20"/>
        </w:rPr>
        <w:t>)</w:t>
      </w:r>
      <w:bookmarkEnd w:id="10"/>
    </w:p>
    <w:p w:rsidR="00341A5E" w:rsidRPr="00D339F4" w:rsidRDefault="00D339F4" w:rsidP="00341A5E">
      <w:pPr>
        <w:pStyle w:val="NormalNew"/>
      </w:pPr>
      <w:r w:rsidRPr="00D339F4">
        <w:t xml:space="preserve">i.e. the runoff coefficient (left hand side) is equal to the fraction of storage filled in </w:t>
      </w:r>
      <w:r w:rsidRPr="00D339F4">
        <w:rPr>
          <w:i/>
        </w:rPr>
        <w:t>S</w:t>
      </w:r>
      <w:r w:rsidRPr="00D339F4">
        <w:t xml:space="preserve"> (right hand side). Equation </w:t>
      </w:r>
      <w:r w:rsidR="00B615A2" w:rsidRPr="00B615A2">
        <w:t>(2)</w:t>
      </w:r>
      <w:r w:rsidRPr="00D339F4">
        <w:t xml:space="preserve"> is developed using the reasoning that the equality holds at the end points (</w:t>
      </w:r>
      <w:r w:rsidRPr="00D339F4">
        <w:rPr>
          <w:i/>
          <w:iCs/>
        </w:rPr>
        <w:t>P</w:t>
      </w:r>
      <w:r w:rsidRPr="00D339F4">
        <w:t xml:space="preserve"> ≤ </w:t>
      </w:r>
      <w:r w:rsidRPr="00D339F4">
        <w:rPr>
          <w:i/>
          <w:iCs/>
        </w:rPr>
        <w:t>I</w:t>
      </w:r>
      <w:r w:rsidRPr="00D339F4">
        <w:rPr>
          <w:i/>
          <w:iCs/>
          <w:vertAlign w:val="subscript"/>
        </w:rPr>
        <w:t>a</w:t>
      </w:r>
      <w:r w:rsidRPr="00D339F4">
        <w:t xml:space="preserve"> and </w:t>
      </w:r>
      <w:r w:rsidRPr="00D339F4">
        <w:rPr>
          <w:i/>
        </w:rPr>
        <w:t>P</w:t>
      </w:r>
      <w:r w:rsidRPr="00D339F4">
        <w:t xml:space="preserve"> → ∞) (Hawkins et al., 2008; Rallison and Miller, 1982; Woodward et al., 2002), and that the behavior of both ratios in the intermediate range is essentially the same (</w:t>
      </w:r>
      <w:r w:rsidR="00B615A2" w:rsidRPr="00B615A2">
        <w:t>Figure 1</w:t>
      </w:r>
      <w:r w:rsidRPr="00D339F4">
        <w:t xml:space="preserve">). When </w:t>
      </w:r>
      <w:r w:rsidRPr="00D339F4">
        <w:rPr>
          <w:i/>
          <w:iCs/>
        </w:rPr>
        <w:t>P</w:t>
      </w:r>
      <w:r w:rsidRPr="00D339F4">
        <w:t xml:space="preserve"> ≤ </w:t>
      </w:r>
      <w:r w:rsidRPr="00D339F4">
        <w:rPr>
          <w:i/>
          <w:iCs/>
        </w:rPr>
        <w:t>I</w:t>
      </w:r>
      <w:r w:rsidRPr="00D339F4">
        <w:rPr>
          <w:i/>
          <w:iCs/>
          <w:vertAlign w:val="subscript"/>
        </w:rPr>
        <w:t>a</w:t>
      </w:r>
      <w:r w:rsidRPr="00D339F4">
        <w:t xml:space="preserve">, both </w:t>
      </w:r>
      <w:r w:rsidRPr="00D339F4">
        <w:rPr>
          <w:i/>
          <w:iCs/>
        </w:rPr>
        <w:t>Q</w:t>
      </w:r>
      <w:r w:rsidRPr="00D339F4">
        <w:t xml:space="preserve"> and </w:t>
      </w:r>
      <w:r w:rsidRPr="00D339F4">
        <w:rPr>
          <w:i/>
          <w:iCs/>
        </w:rPr>
        <w:t>F</w:t>
      </w:r>
      <w:r w:rsidRPr="00D339F4">
        <w:t xml:space="preserve"> are zero and therefore the ratios on either side of eq. </w:t>
      </w:r>
      <w:r w:rsidR="00B615A2" w:rsidRPr="00B615A2">
        <w:t>(2)</w:t>
      </w:r>
      <w:r w:rsidRPr="00D339F4">
        <w:t xml:space="preserve"> are zero. When </w:t>
      </w:r>
      <w:r w:rsidRPr="00D339F4">
        <w:rPr>
          <w:i/>
          <w:iCs/>
        </w:rPr>
        <w:t>P</w:t>
      </w:r>
      <w:r w:rsidRPr="00D339F4">
        <w:t xml:space="preserve"> &gt; </w:t>
      </w:r>
      <w:r w:rsidRPr="00D339F4">
        <w:rPr>
          <w:i/>
          <w:iCs/>
        </w:rPr>
        <w:t>I</w:t>
      </w:r>
      <w:r w:rsidRPr="00D339F4">
        <w:rPr>
          <w:i/>
          <w:iCs/>
          <w:vertAlign w:val="subscript"/>
        </w:rPr>
        <w:t>a</w:t>
      </w:r>
      <w:r w:rsidRPr="00D339F4">
        <w:t xml:space="preserve">, both ratios increase with </w:t>
      </w:r>
      <w:r w:rsidRPr="00D339F4">
        <w:rPr>
          <w:i/>
        </w:rPr>
        <w:t>P</w:t>
      </w:r>
      <w:r w:rsidRPr="00D339F4">
        <w:t xml:space="preserve">, whereas their rate of increase diminishes. At the limit of </w:t>
      </w:r>
      <w:r w:rsidRPr="00D339F4">
        <w:rPr>
          <w:i/>
        </w:rPr>
        <w:t>P</w:t>
      </w:r>
      <w:r w:rsidRPr="00D339F4">
        <w:t xml:space="preserve"> → ∞, both ratios approach unity.</w:t>
      </w:r>
    </w:p>
    <w:p w:rsidR="00D339F4" w:rsidRPr="00D339F4" w:rsidRDefault="00D339F4" w:rsidP="00D339F4">
      <w:pPr>
        <w:keepNext/>
        <w:spacing w:line="480" w:lineRule="auto"/>
        <w:jc w:val="center"/>
        <w:rPr>
          <w:rFonts w:eastAsia="Calibri"/>
          <w:szCs w:val="22"/>
        </w:rPr>
      </w:pPr>
      <w:r w:rsidRPr="00D339F4">
        <w:rPr>
          <w:rFonts w:eastAsia="Calibri"/>
          <w:noProof/>
          <w:szCs w:val="22"/>
        </w:rPr>
        <w:drawing>
          <wp:inline distT="0" distB="0" distL="0" distR="0" wp14:anchorId="32EABBEA" wp14:editId="7237D1E7">
            <wp:extent cx="2960280" cy="1889640"/>
            <wp:effectExtent l="0" t="0" r="0" b="0"/>
            <wp:docPr id="21" name="Picture 6" descr="Eqn 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n 1.emf"/>
                    <pic:cNvPicPr/>
                  </pic:nvPicPr>
                  <pic:blipFill>
                    <a:blip r:embed="rId10" cstate="print"/>
                    <a:stretch>
                      <a:fillRect/>
                    </a:stretch>
                  </pic:blipFill>
                  <pic:spPr>
                    <a:xfrm>
                      <a:off x="0" y="0"/>
                      <a:ext cx="2960280" cy="1889640"/>
                    </a:xfrm>
                    <a:prstGeom prst="rect">
                      <a:avLst/>
                    </a:prstGeom>
                  </pic:spPr>
                </pic:pic>
              </a:graphicData>
            </a:graphic>
          </wp:inline>
        </w:drawing>
      </w:r>
    </w:p>
    <w:p w:rsidR="009C09A9" w:rsidRPr="004F00CE" w:rsidRDefault="00D339F4" w:rsidP="00DF477B">
      <w:pPr>
        <w:spacing w:after="480"/>
        <w:rPr>
          <w:rFonts w:ascii="Arial" w:eastAsia="Calibri" w:hAnsi="Arial" w:cs="Arial"/>
          <w:bCs/>
          <w:sz w:val="18"/>
          <w:szCs w:val="18"/>
        </w:rPr>
      </w:pPr>
      <w:bookmarkStart w:id="11" w:name="_Ref430435754"/>
      <w:bookmarkStart w:id="12" w:name="_Toc481390021"/>
      <w:r w:rsidRPr="004F00CE">
        <w:rPr>
          <w:rFonts w:ascii="Arial" w:eastAsia="Calibri" w:hAnsi="Arial" w:cs="Arial"/>
          <w:b/>
          <w:bCs/>
          <w:sz w:val="18"/>
          <w:szCs w:val="18"/>
        </w:rPr>
        <w:t xml:space="preserve">Figure </w:t>
      </w:r>
      <w:r w:rsidR="00B615A2">
        <w:rPr>
          <w:rFonts w:ascii="Arial" w:eastAsia="Calibri" w:hAnsi="Arial" w:cs="Arial"/>
          <w:b/>
          <w:bCs/>
          <w:noProof/>
          <w:sz w:val="18"/>
          <w:szCs w:val="18"/>
        </w:rPr>
        <w:t>1</w:t>
      </w:r>
      <w:bookmarkEnd w:id="11"/>
      <w:r w:rsidRPr="004F00CE">
        <w:rPr>
          <w:rFonts w:ascii="Arial" w:eastAsia="Calibri" w:hAnsi="Arial" w:cs="Arial"/>
          <w:b/>
          <w:bCs/>
          <w:sz w:val="18"/>
          <w:szCs w:val="18"/>
        </w:rPr>
        <w:t>.</w:t>
      </w:r>
      <w:r w:rsidRPr="004F00CE">
        <w:rPr>
          <w:rFonts w:ascii="Arial" w:eastAsia="Calibri" w:hAnsi="Arial" w:cs="Arial"/>
          <w:bCs/>
          <w:sz w:val="18"/>
          <w:szCs w:val="18"/>
        </w:rPr>
        <w:t xml:space="preserve"> Presumed variation of the ratios in eq. </w:t>
      </w:r>
      <w:r w:rsidR="00B615A2" w:rsidRPr="00B615A2">
        <w:rPr>
          <w:rFonts w:ascii="Arial" w:eastAsia="Calibri" w:hAnsi="Arial" w:cs="Arial"/>
          <w:bCs/>
          <w:sz w:val="18"/>
          <w:szCs w:val="18"/>
        </w:rPr>
        <w:t>(2)</w:t>
      </w:r>
      <w:r w:rsidRPr="004F00CE">
        <w:rPr>
          <w:rFonts w:ascii="Arial" w:eastAsia="Calibri" w:hAnsi="Arial" w:cs="Arial"/>
          <w:bCs/>
          <w:sz w:val="18"/>
          <w:szCs w:val="18"/>
        </w:rPr>
        <w:t xml:space="preserve"> with event rainfall (</w:t>
      </w:r>
      <w:r w:rsidRPr="004F00CE">
        <w:rPr>
          <w:rFonts w:ascii="Arial" w:eastAsia="Calibri" w:hAnsi="Arial" w:cs="Arial"/>
          <w:bCs/>
          <w:i/>
          <w:sz w:val="18"/>
          <w:szCs w:val="18"/>
        </w:rPr>
        <w:t>P</w:t>
      </w:r>
      <w:r w:rsidRPr="004F00CE">
        <w:rPr>
          <w:rFonts w:ascii="Arial" w:eastAsia="Calibri" w:hAnsi="Arial" w:cs="Arial"/>
          <w:bCs/>
          <w:sz w:val="18"/>
          <w:szCs w:val="18"/>
        </w:rPr>
        <w:t xml:space="preserve">). </w:t>
      </w:r>
      <w:r w:rsidRPr="004F00CE">
        <w:rPr>
          <w:rFonts w:ascii="Arial" w:eastAsia="Calibri" w:hAnsi="Arial" w:cs="Arial"/>
          <w:bCs/>
          <w:i/>
          <w:sz w:val="18"/>
          <w:szCs w:val="18"/>
        </w:rPr>
        <w:t>Q</w:t>
      </w:r>
      <w:r w:rsidRPr="004F00CE">
        <w:rPr>
          <w:rFonts w:ascii="Arial" w:eastAsia="Calibri" w:hAnsi="Arial" w:cs="Arial"/>
          <w:bCs/>
          <w:sz w:val="18"/>
          <w:szCs w:val="18"/>
        </w:rPr>
        <w:t xml:space="preserve"> is event runoff, </w:t>
      </w:r>
      <w:r w:rsidRPr="004F00CE">
        <w:rPr>
          <w:rFonts w:ascii="Arial" w:eastAsia="Calibri" w:hAnsi="Arial" w:cs="Arial"/>
          <w:bCs/>
          <w:i/>
          <w:sz w:val="18"/>
          <w:szCs w:val="18"/>
        </w:rPr>
        <w:t>I</w:t>
      </w:r>
      <w:r w:rsidRPr="004F00CE">
        <w:rPr>
          <w:rFonts w:ascii="Arial" w:eastAsia="Calibri" w:hAnsi="Arial" w:cs="Arial"/>
          <w:bCs/>
          <w:i/>
          <w:sz w:val="18"/>
          <w:szCs w:val="18"/>
          <w:vertAlign w:val="subscript"/>
        </w:rPr>
        <w:t>a</w:t>
      </w:r>
      <w:r w:rsidRPr="004F00CE">
        <w:rPr>
          <w:rFonts w:ascii="Arial" w:eastAsia="Calibri" w:hAnsi="Arial" w:cs="Arial"/>
          <w:bCs/>
          <w:sz w:val="18"/>
          <w:szCs w:val="18"/>
        </w:rPr>
        <w:t xml:space="preserve"> is initial abstraction, </w:t>
      </w:r>
      <w:r w:rsidRPr="004F00CE">
        <w:rPr>
          <w:rFonts w:ascii="Arial" w:eastAsia="Calibri" w:hAnsi="Arial" w:cs="Arial"/>
          <w:bCs/>
          <w:i/>
          <w:sz w:val="18"/>
          <w:szCs w:val="18"/>
        </w:rPr>
        <w:t>F</w:t>
      </w:r>
      <w:r w:rsidRPr="004F00CE">
        <w:rPr>
          <w:rFonts w:ascii="Arial" w:eastAsia="Calibri" w:hAnsi="Arial" w:cs="Arial"/>
          <w:bCs/>
          <w:sz w:val="18"/>
          <w:szCs w:val="18"/>
        </w:rPr>
        <w:t xml:space="preserve"> is cumulative infiltration after runoff begins, and </w:t>
      </w:r>
      <w:r w:rsidRPr="004F00CE">
        <w:rPr>
          <w:rFonts w:ascii="Arial" w:eastAsia="Calibri" w:hAnsi="Arial" w:cs="Arial"/>
          <w:bCs/>
          <w:i/>
          <w:sz w:val="18"/>
          <w:szCs w:val="18"/>
        </w:rPr>
        <w:t>S</w:t>
      </w:r>
      <w:r w:rsidRPr="004F00CE">
        <w:rPr>
          <w:rFonts w:ascii="Arial" w:eastAsia="Calibri" w:hAnsi="Arial" w:cs="Arial"/>
          <w:bCs/>
          <w:sz w:val="18"/>
          <w:szCs w:val="18"/>
        </w:rPr>
        <w:t xml:space="preserve"> is potential maximum retention (modified from </w:t>
      </w:r>
      <w:r w:rsidR="007B1456" w:rsidRPr="004F00CE">
        <w:rPr>
          <w:rFonts w:ascii="Arial" w:eastAsia="Calibri" w:hAnsi="Arial" w:cs="Arial"/>
          <w:bCs/>
          <w:sz w:val="18"/>
          <w:szCs w:val="18"/>
        </w:rPr>
        <w:t>Rallison and Miller</w:t>
      </w:r>
      <w:r w:rsidRPr="004F00CE">
        <w:rPr>
          <w:rFonts w:ascii="Arial" w:eastAsia="Calibri" w:hAnsi="Arial" w:cs="Arial"/>
          <w:bCs/>
          <w:sz w:val="18"/>
          <w:szCs w:val="18"/>
        </w:rPr>
        <w:t xml:space="preserve"> </w:t>
      </w:r>
      <w:r w:rsidR="007B1456" w:rsidRPr="004F00CE">
        <w:rPr>
          <w:rFonts w:ascii="Arial" w:eastAsia="Calibri" w:hAnsi="Arial" w:cs="Arial"/>
          <w:bCs/>
          <w:sz w:val="18"/>
          <w:szCs w:val="18"/>
        </w:rPr>
        <w:t>(</w:t>
      </w:r>
      <w:r w:rsidRPr="004F00CE">
        <w:rPr>
          <w:rFonts w:ascii="Arial" w:eastAsia="Calibri" w:hAnsi="Arial" w:cs="Arial"/>
          <w:bCs/>
          <w:sz w:val="18"/>
          <w:szCs w:val="18"/>
        </w:rPr>
        <w:t>1982)</w:t>
      </w:r>
      <w:r w:rsidR="007B1456" w:rsidRPr="004F00CE">
        <w:rPr>
          <w:rFonts w:ascii="Arial" w:eastAsia="Calibri" w:hAnsi="Arial" w:cs="Arial"/>
          <w:bCs/>
          <w:sz w:val="18"/>
          <w:szCs w:val="18"/>
        </w:rPr>
        <w:t xml:space="preserve"> Figure</w:t>
      </w:r>
      <w:r w:rsidRPr="004F00CE">
        <w:rPr>
          <w:rFonts w:ascii="Arial" w:eastAsia="Calibri" w:hAnsi="Arial" w:cs="Arial"/>
          <w:bCs/>
          <w:sz w:val="18"/>
          <w:szCs w:val="18"/>
        </w:rPr>
        <w:t xml:space="preserve"> 2).</w:t>
      </w:r>
      <w:bookmarkEnd w:id="12"/>
    </w:p>
    <w:p w:rsidR="00D339F4" w:rsidRPr="00D339F4" w:rsidRDefault="00D339F4" w:rsidP="00341A5E">
      <w:pPr>
        <w:pStyle w:val="NormalNew"/>
      </w:pPr>
      <w:r w:rsidRPr="00D339F4">
        <w:t xml:space="preserve">To eliminate the need for an independent estimation of </w:t>
      </w:r>
      <w:r w:rsidRPr="00D339F4">
        <w:rPr>
          <w:i/>
          <w:iCs/>
        </w:rPr>
        <w:t>I</w:t>
      </w:r>
      <w:r w:rsidRPr="00D339F4">
        <w:rPr>
          <w:i/>
          <w:iCs/>
          <w:vertAlign w:val="subscript"/>
        </w:rPr>
        <w:t>a</w:t>
      </w:r>
      <w:r w:rsidRPr="00D339F4">
        <w:t xml:space="preserve"> (Ponce and Hawkins, 1996; Rallison and Miller, 1982), it is assumed that</w:t>
      </w:r>
    </w:p>
    <w:p w:rsidR="00D339F4" w:rsidRPr="00D339F4" w:rsidRDefault="00D339F4" w:rsidP="00887312">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12"/>
          <w:szCs w:val="22"/>
        </w:rPr>
        <w:pict>
          <v:shape id="_x0000_i1027" type="#_x0000_t75" style="width:37.2pt;height:18pt">
            <v:imagedata r:id="rId11" o:title=""/>
          </v:shape>
        </w:pict>
      </w:r>
      <w:r w:rsidRPr="00D339F4">
        <w:rPr>
          <w:rFonts w:eastAsia="Calibri"/>
          <w:szCs w:val="22"/>
        </w:rPr>
        <w:t xml:space="preserve"> </w:t>
      </w:r>
      <w:r w:rsidRPr="00D339F4">
        <w:rPr>
          <w:rFonts w:eastAsia="Calibri"/>
          <w:szCs w:val="22"/>
        </w:rPr>
        <w:tab/>
      </w:r>
      <w:bookmarkStart w:id="13" w:name="ZEqnNum225234"/>
      <w:r w:rsidRPr="00887312">
        <w:rPr>
          <w:rFonts w:eastAsia="Calibri"/>
          <w:sz w:val="20"/>
          <w:szCs w:val="20"/>
        </w:rPr>
        <w:t>(</w:t>
      </w:r>
      <w:r w:rsidR="00B615A2">
        <w:rPr>
          <w:rFonts w:eastAsia="Calibri"/>
          <w:noProof/>
          <w:sz w:val="20"/>
          <w:szCs w:val="20"/>
        </w:rPr>
        <w:t>3</w:t>
      </w:r>
      <w:r w:rsidRPr="00887312">
        <w:rPr>
          <w:rFonts w:eastAsia="Calibri"/>
          <w:sz w:val="20"/>
          <w:szCs w:val="20"/>
        </w:rPr>
        <w:t>)</w:t>
      </w:r>
      <w:bookmarkEnd w:id="13"/>
    </w:p>
    <w:p w:rsidR="00341A5E" w:rsidRPr="00D339F4" w:rsidRDefault="00D339F4" w:rsidP="00341A5E">
      <w:pPr>
        <w:pStyle w:val="NormalNew"/>
        <w:rPr>
          <w:iCs/>
        </w:rPr>
      </w:pPr>
      <w:r w:rsidRPr="00D339F4">
        <w:t xml:space="preserve">where </w:t>
      </w:r>
      <w:r w:rsidRPr="00D339F4">
        <w:rPr>
          <w:i/>
          <w:iCs/>
        </w:rPr>
        <w:t>λ</w:t>
      </w:r>
      <w:r w:rsidRPr="00D339F4">
        <w:t xml:space="preserve"> is a dimensionless parameter called the initial abstraction ratio. Early field data suggested an optimum value of </w:t>
      </w:r>
      <w:r w:rsidRPr="00D339F4">
        <w:rPr>
          <w:i/>
          <w:iCs/>
        </w:rPr>
        <w:t>λ</w:t>
      </w:r>
      <w:r w:rsidRPr="00D339F4">
        <w:t xml:space="preserve"> = 0.2 (Soil Conservation Service, 1956). However, more recent studies (Hawkins et al., 2008; Woodward et al., 2003) suggest that </w:t>
      </w:r>
      <w:r w:rsidRPr="00D339F4">
        <w:rPr>
          <w:i/>
          <w:iCs/>
        </w:rPr>
        <w:t>λ</w:t>
      </w:r>
      <w:r w:rsidRPr="00D339F4">
        <w:t xml:space="preserve"> = 0.05 is more appropriate. Using eqs. </w:t>
      </w:r>
      <w:r w:rsidR="00B615A2" w:rsidRPr="00B615A2">
        <w:t>(1)</w:t>
      </w:r>
      <w:r w:rsidRPr="00D339F4">
        <w:t xml:space="preserve">, </w:t>
      </w:r>
      <w:r w:rsidR="00B615A2" w:rsidRPr="00B615A2">
        <w:rPr>
          <w:iCs/>
        </w:rPr>
        <w:t>(2)</w:t>
      </w:r>
      <w:r w:rsidRPr="00D339F4">
        <w:rPr>
          <w:iCs/>
        </w:rPr>
        <w:t>,</w:t>
      </w:r>
      <w:r w:rsidRPr="00D339F4">
        <w:t xml:space="preserve"> and </w:t>
      </w:r>
      <w:r w:rsidR="00B615A2" w:rsidRPr="00B615A2">
        <w:rPr>
          <w:iCs/>
        </w:rPr>
        <w:t>(3)</w:t>
      </w:r>
      <w:r w:rsidRPr="00D339F4">
        <w:rPr>
          <w:iCs/>
        </w:rPr>
        <w:t xml:space="preserve">, </w:t>
      </w:r>
      <w:r w:rsidRPr="00D339F4">
        <w:rPr>
          <w:i/>
          <w:iCs/>
        </w:rPr>
        <w:t>I</w:t>
      </w:r>
      <w:r w:rsidRPr="00D339F4">
        <w:rPr>
          <w:i/>
          <w:iCs/>
          <w:vertAlign w:val="subscript"/>
        </w:rPr>
        <w:t>a</w:t>
      </w:r>
      <w:r w:rsidRPr="00D339F4">
        <w:rPr>
          <w:iCs/>
        </w:rPr>
        <w:t xml:space="preserve"> and </w:t>
      </w:r>
      <w:r w:rsidRPr="00D339F4">
        <w:rPr>
          <w:i/>
        </w:rPr>
        <w:t>F</w:t>
      </w:r>
      <w:r w:rsidRPr="00D339F4">
        <w:rPr>
          <w:iCs/>
        </w:rPr>
        <w:t xml:space="preserve"> can be eliminated to give</w:t>
      </w:r>
    </w:p>
    <w:p w:rsidR="00D339F4" w:rsidRPr="00D339F4" w:rsidRDefault="00D339F4" w:rsidP="00887312">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82"/>
          <w:szCs w:val="22"/>
        </w:rPr>
        <w:pict>
          <v:shape id="_x0000_i1028" type="#_x0000_t75" style="width:140.4pt;height:68.4pt">
            <v:imagedata r:id="rId12" o:title=""/>
          </v:shape>
        </w:pict>
      </w:r>
      <w:r w:rsidRPr="00D339F4">
        <w:rPr>
          <w:rFonts w:eastAsia="Calibri"/>
          <w:szCs w:val="22"/>
        </w:rPr>
        <w:t xml:space="preserve"> </w:t>
      </w:r>
      <w:r w:rsidRPr="00D339F4">
        <w:rPr>
          <w:rFonts w:eastAsia="Calibri"/>
          <w:szCs w:val="22"/>
        </w:rPr>
        <w:tab/>
      </w:r>
      <w:bookmarkStart w:id="14" w:name="ZEqnNum479038"/>
      <w:r w:rsidRPr="00887312">
        <w:rPr>
          <w:rFonts w:eastAsia="Calibri"/>
          <w:sz w:val="20"/>
          <w:szCs w:val="20"/>
        </w:rPr>
        <w:t>(</w:t>
      </w:r>
      <w:r w:rsidR="00B615A2">
        <w:rPr>
          <w:rFonts w:eastAsia="Calibri"/>
          <w:noProof/>
          <w:sz w:val="20"/>
          <w:szCs w:val="20"/>
        </w:rPr>
        <w:t>4</w:t>
      </w:r>
      <w:r w:rsidRPr="00887312">
        <w:rPr>
          <w:rFonts w:eastAsia="Calibri"/>
          <w:sz w:val="20"/>
          <w:szCs w:val="20"/>
        </w:rPr>
        <w:t>)</w:t>
      </w:r>
      <w:bookmarkEnd w:id="14"/>
    </w:p>
    <w:p w:rsidR="004849ED" w:rsidRPr="00D339F4" w:rsidRDefault="00D339F4" w:rsidP="004849ED">
      <w:pPr>
        <w:pStyle w:val="NormalNew"/>
      </w:pPr>
      <w:r w:rsidRPr="00D339F4">
        <w:lastRenderedPageBreak/>
        <w:t xml:space="preserve">Since the value of </w:t>
      </w:r>
      <w:r w:rsidRPr="00D339F4">
        <w:rPr>
          <w:i/>
        </w:rPr>
        <w:t>λ</w:t>
      </w:r>
      <w:r w:rsidRPr="00D339F4">
        <w:t xml:space="preserve"> is usually fixed (at 0.2 or 0.05), eq. </w:t>
      </w:r>
      <w:r w:rsidR="00B615A2" w:rsidRPr="00B615A2">
        <w:t>(4)</w:t>
      </w:r>
      <w:r w:rsidRPr="00D339F4">
        <w:t xml:space="preserve"> requires only one parameter, </w:t>
      </w:r>
      <w:r w:rsidRPr="00D339F4">
        <w:rPr>
          <w:i/>
        </w:rPr>
        <w:t>S</w:t>
      </w:r>
      <w:r w:rsidRPr="00D339F4">
        <w:t xml:space="preserve">, which varies within the range 0 ≤ </w:t>
      </w:r>
      <w:r w:rsidRPr="00D339F4">
        <w:rPr>
          <w:i/>
        </w:rPr>
        <w:t>S</w:t>
      </w:r>
      <w:r w:rsidRPr="00D339F4">
        <w:t xml:space="preserve"> ≤ ∞.</w:t>
      </w:r>
    </w:p>
    <w:p w:rsidR="001E6CE3" w:rsidRPr="00D339F4" w:rsidRDefault="00D339F4" w:rsidP="001E6CE3">
      <w:pPr>
        <w:pStyle w:val="NormalNew"/>
      </w:pPr>
      <w:r w:rsidRPr="00D339F4">
        <w:t xml:space="preserve">For convenience (Hawkins et al., 2008; Ponce and Hawkins, 1996), </w:t>
      </w:r>
      <w:r w:rsidRPr="00D339F4">
        <w:rPr>
          <w:i/>
          <w:iCs/>
        </w:rPr>
        <w:t>S</w:t>
      </w:r>
      <w:r w:rsidRPr="00D339F4">
        <w:t xml:space="preserve"> (units in mm) is mapped on to a dimensionless parameter called the Curve Number (CN) as </w:t>
      </w:r>
    </w:p>
    <w:p w:rsidR="00D339F4" w:rsidRPr="00D339F4" w:rsidRDefault="00D339F4" w:rsidP="00887312">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24"/>
          <w:szCs w:val="22"/>
        </w:rPr>
        <w:pict>
          <v:shape id="_x0000_i1029" type="#_x0000_t75" style="width:62.4pt;height:30pt">
            <v:imagedata r:id="rId13" o:title=""/>
          </v:shape>
        </w:pict>
      </w:r>
      <w:r w:rsidRPr="00D339F4">
        <w:rPr>
          <w:rFonts w:eastAsia="Calibri"/>
          <w:szCs w:val="22"/>
        </w:rPr>
        <w:t xml:space="preserve"> </w:t>
      </w:r>
      <w:r w:rsidRPr="00D339F4">
        <w:rPr>
          <w:rFonts w:eastAsia="Calibri"/>
          <w:szCs w:val="22"/>
        </w:rPr>
        <w:tab/>
      </w:r>
      <w:bookmarkStart w:id="15" w:name="ZEqnNum226308"/>
      <w:r w:rsidRPr="00887312">
        <w:rPr>
          <w:rFonts w:eastAsia="Calibri"/>
          <w:sz w:val="20"/>
          <w:szCs w:val="20"/>
        </w:rPr>
        <w:t>(</w:t>
      </w:r>
      <w:r w:rsidR="00B615A2">
        <w:rPr>
          <w:rFonts w:eastAsia="Calibri"/>
          <w:noProof/>
          <w:sz w:val="20"/>
          <w:szCs w:val="20"/>
        </w:rPr>
        <w:t>5</w:t>
      </w:r>
      <w:r w:rsidRPr="00887312">
        <w:rPr>
          <w:rFonts w:eastAsia="Calibri"/>
          <w:sz w:val="20"/>
          <w:szCs w:val="20"/>
        </w:rPr>
        <w:t>)</w:t>
      </w:r>
      <w:bookmarkEnd w:id="15"/>
    </w:p>
    <w:p w:rsidR="001E6CE3" w:rsidRPr="009C09A9" w:rsidRDefault="00D339F4" w:rsidP="001E6CE3">
      <w:pPr>
        <w:pStyle w:val="NormalNew"/>
        <w:rPr>
          <w:iCs/>
        </w:rPr>
      </w:pPr>
      <w:r w:rsidRPr="00D339F4">
        <w:t xml:space="preserve">so that CN is 100 when </w:t>
      </w:r>
      <w:r w:rsidRPr="00D339F4">
        <w:rPr>
          <w:i/>
          <w:iCs/>
        </w:rPr>
        <w:t>S</w:t>
      </w:r>
      <w:r w:rsidRPr="00D339F4">
        <w:t xml:space="preserve"> is zero, but approaches zero as </w:t>
      </w:r>
      <w:r w:rsidRPr="00D339F4">
        <w:rPr>
          <w:i/>
          <w:iCs/>
        </w:rPr>
        <w:t>S</w:t>
      </w:r>
      <w:r w:rsidRPr="00D339F4">
        <w:t xml:space="preserve"> approaches infinity. In practice, when </w:t>
      </w:r>
      <w:r w:rsidRPr="00D339F4">
        <w:rPr>
          <w:i/>
          <w:iCs/>
        </w:rPr>
        <w:t>λ</w:t>
      </w:r>
      <w:r w:rsidRPr="00D339F4">
        <w:t xml:space="preserve"> = 0.2, CN ranges from around 30 (for vegetated surfaces with highly permeable soils) to close to 100 (for impermeable surfaces or soils) (USDA, 1986). </w:t>
      </w:r>
      <w:r w:rsidRPr="001E6CE3">
        <w:t>Tabulated</w:t>
      </w:r>
      <w:r w:rsidRPr="00D339F4">
        <w:t xml:space="preserve"> CN values for various land uses, soil types, and management scenarios are available in </w:t>
      </w:r>
      <w:r w:rsidR="00D7518E">
        <w:t>h</w:t>
      </w:r>
      <w:r w:rsidRPr="00D339F4">
        <w:t>andbook</w:t>
      </w:r>
      <w:r w:rsidR="00D7518E">
        <w:t xml:space="preserve">s and manuals </w:t>
      </w:r>
      <w:r w:rsidR="00D7518E" w:rsidRPr="00D339F4">
        <w:t>(NRCS, 2003</w:t>
      </w:r>
      <w:r w:rsidR="00D7518E">
        <w:t xml:space="preserve">; </w:t>
      </w:r>
      <w:r w:rsidR="00D7518E">
        <w:rPr>
          <w:lang w:bidi="te-IN"/>
        </w:rPr>
        <w:t>USDA,</w:t>
      </w:r>
      <w:r w:rsidR="00D7518E" w:rsidRPr="00D339F4">
        <w:rPr>
          <w:lang w:bidi="te-IN"/>
        </w:rPr>
        <w:t xml:space="preserve"> 1986</w:t>
      </w:r>
      <w:r w:rsidR="00D7518E" w:rsidRPr="00D339F4">
        <w:t>)</w:t>
      </w:r>
      <w:r w:rsidRPr="00D339F4">
        <w:t xml:space="preserve">. CN can also be determined from field data by solving eq. </w:t>
      </w:r>
      <w:r w:rsidR="00B615A2" w:rsidRPr="00B615A2">
        <w:rPr>
          <w:iCs/>
        </w:rPr>
        <w:t>(4)</w:t>
      </w:r>
      <w:r w:rsidRPr="00D339F4">
        <w:rPr>
          <w:iCs/>
        </w:rPr>
        <w:t xml:space="preserve"> for </w:t>
      </w:r>
      <w:r w:rsidRPr="00D339F4">
        <w:rPr>
          <w:i/>
        </w:rPr>
        <w:t>S</w:t>
      </w:r>
      <w:r w:rsidRPr="00D339F4">
        <w:rPr>
          <w:iCs/>
        </w:rPr>
        <w:t xml:space="preserve"> as</w:t>
      </w:r>
    </w:p>
    <w:p w:rsidR="00D339F4" w:rsidRPr="00D339F4" w:rsidRDefault="00D339F4" w:rsidP="00887312">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24"/>
          <w:szCs w:val="22"/>
        </w:rPr>
        <w:pict>
          <v:shape id="_x0000_i1030" type="#_x0000_t75" style="width:208.2pt;height:30pt">
            <v:imagedata r:id="rId14" o:title=""/>
          </v:shape>
        </w:pict>
      </w:r>
      <w:r w:rsidRPr="00D339F4">
        <w:rPr>
          <w:rFonts w:eastAsia="Calibri"/>
          <w:szCs w:val="22"/>
        </w:rPr>
        <w:t xml:space="preserve"> </w:t>
      </w:r>
      <w:r w:rsidRPr="00D339F4">
        <w:rPr>
          <w:rFonts w:eastAsia="Calibri"/>
          <w:szCs w:val="22"/>
        </w:rPr>
        <w:tab/>
      </w:r>
      <w:bookmarkStart w:id="16" w:name="ZEqnNum959155"/>
      <w:r w:rsidRPr="00887312">
        <w:rPr>
          <w:rFonts w:eastAsia="Calibri"/>
          <w:sz w:val="20"/>
          <w:szCs w:val="20"/>
        </w:rPr>
        <w:t>(</w:t>
      </w:r>
      <w:r w:rsidR="00B615A2">
        <w:rPr>
          <w:rFonts w:eastAsia="Calibri"/>
          <w:noProof/>
          <w:sz w:val="20"/>
          <w:szCs w:val="20"/>
        </w:rPr>
        <w:t>6</w:t>
      </w:r>
      <w:r w:rsidRPr="00887312">
        <w:rPr>
          <w:rFonts w:eastAsia="Calibri"/>
          <w:sz w:val="20"/>
          <w:szCs w:val="20"/>
        </w:rPr>
        <w:t>)</w:t>
      </w:r>
      <w:bookmarkEnd w:id="16"/>
    </w:p>
    <w:p w:rsidR="001E6CE3" w:rsidRPr="00D339F4" w:rsidRDefault="00D339F4" w:rsidP="001E6CE3">
      <w:pPr>
        <w:pStyle w:val="NormalNew"/>
      </w:pPr>
      <w:r w:rsidRPr="00D339F4">
        <w:t xml:space="preserve">and then using eq. </w:t>
      </w:r>
      <w:r w:rsidR="00B615A2" w:rsidRPr="00B615A2">
        <w:t>(5)</w:t>
      </w:r>
      <w:r w:rsidRPr="00D339F4">
        <w:t xml:space="preserve">. Conversely, when the CN of a watershed is known, </w:t>
      </w:r>
      <w:r w:rsidRPr="00D339F4">
        <w:rPr>
          <w:i/>
        </w:rPr>
        <w:t>Q</w:t>
      </w:r>
      <w:r w:rsidRPr="00D339F4">
        <w:t xml:space="preserve"> can be estimated for a rainfall event using eqs. </w:t>
      </w:r>
      <w:r w:rsidR="00B615A2" w:rsidRPr="00B615A2">
        <w:t>(4)</w:t>
      </w:r>
      <w:r w:rsidRPr="00D339F4">
        <w:t xml:space="preserve"> and </w:t>
      </w:r>
      <w:r w:rsidR="00B615A2" w:rsidRPr="00B615A2">
        <w:t>(5)</w:t>
      </w:r>
      <w:r w:rsidRPr="00D339F4">
        <w:t>.</w:t>
      </w:r>
    </w:p>
    <w:p w:rsidR="00D339F4" w:rsidRPr="00D339F4" w:rsidRDefault="00D339F4" w:rsidP="001E6CE3">
      <w:pPr>
        <w:pStyle w:val="NormalNew"/>
      </w:pPr>
      <w:r w:rsidRPr="00D339F4">
        <w:t xml:space="preserve">The curve number method is appealing because it is based on an intuitive concept [eq. </w:t>
      </w:r>
      <w:r w:rsidR="00B615A2" w:rsidRPr="00B615A2">
        <w:rPr>
          <w:iCs/>
        </w:rPr>
        <w:t>(2)</w:t>
      </w:r>
      <w:r w:rsidRPr="00D339F4">
        <w:t>], relies on only one parameter, has a large body of literature (Hawkins et al., 2008), and a comprehensive database (NRCS, 2003</w:t>
      </w:r>
      <w:r w:rsidR="00D7518E">
        <w:t xml:space="preserve">; </w:t>
      </w:r>
      <w:r w:rsidR="00D7518E">
        <w:rPr>
          <w:lang w:bidi="te-IN"/>
        </w:rPr>
        <w:t>USDA,</w:t>
      </w:r>
      <w:r w:rsidR="00D7518E" w:rsidRPr="00D339F4">
        <w:rPr>
          <w:lang w:bidi="te-IN"/>
        </w:rPr>
        <w:t xml:space="preserve"> 1986</w:t>
      </w:r>
      <w:r w:rsidRPr="00D339F4">
        <w:t>). It has been included in many watershed/water quality models such as SWAT (Soil and Water Assessment Tool) (Neitsch S.L. et al., 2005), CREAMS (Chemicals, Runoff and Erosion from Agricultural Management Systems), GLEAMS (Groundwater Loading Effects of Agricultural Management Systems) (Knisel and Douglas-Mankin, 2012), AnnAGNPS (Annualized Agricultural Non-point Source Pollution Model) (Bingner et al., 2011), EPIC (Environmental Policy Integrated Climate), APEX (Agricultural Policy/Environmental Extender) (Wang et al., 2012), and HydroCAD (HydroCAD, 2015). A physically-based modeling framework, such as the diffusive-wave approximation for overland flow coupled with the Richard’s equation for unsaturated subsurface flow, e.g. (Panday and Huyakorn, 2004), may improve accuracy and resolution of model predictions compared to the CN method, when the necessary input data, expertise, and computing resources are available. However, the CN method will likely remain popular for many applications in runoff modeling because of its ease of use, wide knowledge base, and less demand on computational resources than many physically-based models.</w:t>
      </w:r>
    </w:p>
    <w:p w:rsidR="00D339F4" w:rsidRPr="00D339F4" w:rsidRDefault="00D339F4" w:rsidP="00D339F4">
      <w:pPr>
        <w:pStyle w:val="Heading3"/>
      </w:pPr>
      <w:bookmarkStart w:id="17" w:name="_Toc479817855"/>
      <w:bookmarkStart w:id="18" w:name="_Toc481658231"/>
      <w:r w:rsidRPr="00D339F4">
        <w:t xml:space="preserve">1.2. CN Variation with </w:t>
      </w:r>
      <w:r w:rsidRPr="00D339F4">
        <w:rPr>
          <w:i/>
        </w:rPr>
        <w:t>P</w:t>
      </w:r>
      <w:bookmarkEnd w:id="17"/>
      <w:bookmarkEnd w:id="18"/>
    </w:p>
    <w:p w:rsidR="00121B67" w:rsidRPr="00D339F4" w:rsidRDefault="00D339F4" w:rsidP="001E6CE3">
      <w:pPr>
        <w:pStyle w:val="NormalNew"/>
      </w:pPr>
      <w:r w:rsidRPr="00D339F4">
        <w:t xml:space="preserve">Curve Number is assumed to be a watershed property that depends on the current conditions, but it also varies with </w:t>
      </w:r>
      <w:r w:rsidRPr="00D339F4">
        <w:rPr>
          <w:i/>
          <w:iCs/>
        </w:rPr>
        <w:t>P</w:t>
      </w:r>
      <w:r w:rsidRPr="00D339F4">
        <w:rPr>
          <w:iCs/>
        </w:rPr>
        <w:t xml:space="preserve"> [e.g. </w:t>
      </w:r>
      <w:r w:rsidR="00B615A2" w:rsidRPr="00B615A2">
        <w:t>Figure 2</w:t>
      </w:r>
      <w:r w:rsidRPr="00D339F4">
        <w:rPr>
          <w:iCs/>
        </w:rPr>
        <w:t>(a) and 2(b)]</w:t>
      </w:r>
      <w:r w:rsidRPr="00D339F4">
        <w:t xml:space="preserve">. </w:t>
      </w:r>
      <w:r w:rsidR="00B10E7D" w:rsidRPr="00B10E7D">
        <w:t xml:space="preserve">This behavior was also observed in several previous studies (D’Asaro and Grillone, 2012; Hawkins, </w:t>
      </w:r>
      <w:r w:rsidR="00B10E7D" w:rsidRPr="00B10E7D">
        <w:lastRenderedPageBreak/>
        <w:t>1993; Hjelmfelt et al., 2001; Soulis et al., 2009), and it appears to be a common phenomenon</w:t>
      </w:r>
      <w:r w:rsidR="00B10E7D">
        <w:t xml:space="preserve">. </w:t>
      </w:r>
      <w:r w:rsidR="00E12B7E">
        <w:t>I</w:t>
      </w:r>
      <w:r w:rsidRPr="00D339F4">
        <w:t xml:space="preserve">n 75% of the watersheds, CN decreased with increasing </w:t>
      </w:r>
      <w:r w:rsidRPr="00D339F4">
        <w:rPr>
          <w:i/>
          <w:iCs/>
        </w:rPr>
        <w:t>P</w:t>
      </w:r>
      <w:r w:rsidRPr="00D339F4">
        <w:t xml:space="preserve"> and asymptotically approached a constant value.</w:t>
      </w:r>
      <w:r w:rsidR="0061645E">
        <w:t xml:space="preserve"> Hawkins</w:t>
      </w:r>
      <w:r w:rsidR="0061645E" w:rsidRPr="00D339F4">
        <w:t xml:space="preserve"> </w:t>
      </w:r>
      <w:r w:rsidR="0061645E">
        <w:t>(</w:t>
      </w:r>
      <w:r w:rsidR="0061645E" w:rsidRPr="00D339F4">
        <w:t>1993)</w:t>
      </w:r>
      <w:r w:rsidRPr="00D339F4">
        <w:t xml:space="preserve"> </w:t>
      </w:r>
      <w:r w:rsidR="0061645E">
        <w:t>r</w:t>
      </w:r>
      <w:r w:rsidRPr="00D339F4">
        <w:t xml:space="preserve">eferred to this as </w:t>
      </w:r>
      <w:r w:rsidRPr="00D339F4">
        <w:rPr>
          <w:i/>
        </w:rPr>
        <w:t>standard behavior</w:t>
      </w:r>
      <w:r w:rsidRPr="00D339F4">
        <w:t xml:space="preserve">. In 20% of the watersheds, CN decreased with </w:t>
      </w:r>
      <w:r w:rsidRPr="00D339F4">
        <w:rPr>
          <w:i/>
        </w:rPr>
        <w:t>P</w:t>
      </w:r>
      <w:r w:rsidRPr="00D339F4">
        <w:t xml:space="preserve"> but an asymptote was not attained within the range of the observed </w:t>
      </w:r>
      <w:r w:rsidRPr="00D339F4">
        <w:rPr>
          <w:i/>
          <w:iCs/>
        </w:rPr>
        <w:t>P</w:t>
      </w:r>
      <w:r w:rsidRPr="00D339F4">
        <w:t xml:space="preserve">. This was referred to as </w:t>
      </w:r>
      <w:r w:rsidRPr="00D339F4">
        <w:rPr>
          <w:i/>
        </w:rPr>
        <w:t>complacent behavior</w:t>
      </w:r>
      <w:r w:rsidRPr="00D339F4">
        <w:t xml:space="preserve">. In about 5% of the watersheds, the CN increased with </w:t>
      </w:r>
      <w:r w:rsidRPr="00D339F4">
        <w:rPr>
          <w:i/>
          <w:iCs/>
        </w:rPr>
        <w:t>P</w:t>
      </w:r>
      <w:r w:rsidRPr="00D339F4">
        <w:t xml:space="preserve"> and asymptotically approached an apparent constant value. This behavior, referred to as </w:t>
      </w:r>
      <w:r w:rsidRPr="00D339F4">
        <w:rPr>
          <w:i/>
        </w:rPr>
        <w:t>violent</w:t>
      </w:r>
      <w:r w:rsidRPr="00D339F4">
        <w:t xml:space="preserve">, was often preceded by </w:t>
      </w:r>
      <w:r w:rsidRPr="00D339F4">
        <w:rPr>
          <w:i/>
        </w:rPr>
        <w:t>complacent behavior</w:t>
      </w:r>
      <w:r w:rsidRPr="00D339F4">
        <w:t xml:space="preserve"> at smaller rainfalls</w:t>
      </w:r>
      <w:r w:rsidR="0061645E">
        <w:t>. Hawkins</w:t>
      </w:r>
      <w:r w:rsidR="0061645E" w:rsidRPr="00D339F4">
        <w:t xml:space="preserve"> </w:t>
      </w:r>
      <w:r w:rsidR="0061645E">
        <w:t>(</w:t>
      </w:r>
      <w:r w:rsidR="0061645E" w:rsidRPr="00D339F4">
        <w:t>1993)</w:t>
      </w:r>
      <w:r w:rsidRPr="00D339F4">
        <w:t xml:space="preserve"> hypothesized that the inverse relationship between CN and </w:t>
      </w:r>
      <w:r w:rsidRPr="00D339F4">
        <w:rPr>
          <w:i/>
        </w:rPr>
        <w:t>P</w:t>
      </w:r>
      <w:r w:rsidRPr="00D339F4">
        <w:t xml:space="preserve"> may be due to some spurious correlation between them, or due to a bias that inherently results from the selective omission of data from small storm events that failed to produce runoff. The reasoning is that large rainfalls always produce runoff but small rainfalls produce runoff only under wet conditions, when the CN is large. Therefore</w:t>
      </w:r>
      <w:r w:rsidR="00DB0D36">
        <w:t>,</w:t>
      </w:r>
      <w:r w:rsidRPr="00D339F4">
        <w:t xml:space="preserve"> small CN values for small rainfalls go unrecorded.</w:t>
      </w:r>
    </w:p>
    <w:p w:rsidR="00D339F4" w:rsidRPr="00D339F4" w:rsidRDefault="00D339F4" w:rsidP="00121B67">
      <w:pPr>
        <w:pStyle w:val="NormalNew"/>
      </w:pPr>
      <w:r w:rsidRPr="00D339F4">
        <w:t xml:space="preserve">In watersheds showing a </w:t>
      </w:r>
      <w:r w:rsidRPr="00D339F4">
        <w:rPr>
          <w:i/>
        </w:rPr>
        <w:t>standard behavior</w:t>
      </w:r>
      <w:r w:rsidRPr="00D339F4">
        <w:t xml:space="preserve">, CN was treated as an asymptotic function of </w:t>
      </w:r>
      <w:r w:rsidRPr="00D339F4">
        <w:rPr>
          <w:i/>
        </w:rPr>
        <w:t>P</w:t>
      </w:r>
      <w:r w:rsidRPr="00D339F4">
        <w:t xml:space="preserve"> as   </w:t>
      </w:r>
    </w:p>
    <w:p w:rsidR="00D339F4" w:rsidRPr="00D339F4" w:rsidRDefault="00D339F4" w:rsidP="00887312">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12"/>
          <w:szCs w:val="22"/>
        </w:rPr>
        <w:pict>
          <v:shape id="_x0000_i1031" type="#_x0000_t75" style="width:126.6pt;height:18pt">
            <v:imagedata r:id="rId15" o:title=""/>
          </v:shape>
        </w:pict>
      </w:r>
      <w:r w:rsidRPr="00D339F4">
        <w:rPr>
          <w:rFonts w:eastAsia="Calibri"/>
          <w:szCs w:val="22"/>
        </w:rPr>
        <w:t xml:space="preserve"> </w:t>
      </w:r>
      <w:r w:rsidRPr="00D339F4">
        <w:rPr>
          <w:rFonts w:eastAsia="Calibri"/>
          <w:szCs w:val="22"/>
        </w:rPr>
        <w:tab/>
      </w:r>
      <w:bookmarkStart w:id="19" w:name="ZEqnNum563798"/>
      <w:r w:rsidRPr="00887312">
        <w:rPr>
          <w:rFonts w:eastAsia="Calibri"/>
          <w:sz w:val="20"/>
          <w:szCs w:val="20"/>
        </w:rPr>
        <w:t>(</w:t>
      </w:r>
      <w:r w:rsidR="00B615A2">
        <w:rPr>
          <w:rFonts w:eastAsia="Calibri"/>
          <w:noProof/>
          <w:sz w:val="20"/>
          <w:szCs w:val="20"/>
        </w:rPr>
        <w:t>7</w:t>
      </w:r>
      <w:r w:rsidRPr="00887312">
        <w:rPr>
          <w:rFonts w:eastAsia="Calibri"/>
          <w:sz w:val="20"/>
          <w:szCs w:val="20"/>
        </w:rPr>
        <w:t>)</w:t>
      </w:r>
      <w:bookmarkEnd w:id="19"/>
    </w:p>
    <w:p w:rsidR="00D339F4" w:rsidRPr="00D339F4" w:rsidRDefault="00D339F4" w:rsidP="00121B67">
      <w:pPr>
        <w:pStyle w:val="NormalNew"/>
        <w:rPr>
          <w:iCs/>
        </w:rPr>
      </w:pPr>
      <w:r w:rsidRPr="00D339F4">
        <w:t>where CN = CN</w:t>
      </w:r>
      <w:r w:rsidRPr="00D339F4">
        <w:rPr>
          <w:vertAlign w:val="subscript"/>
        </w:rPr>
        <w:t>∞</w:t>
      </w:r>
      <w:r w:rsidRPr="00D339F4">
        <w:t xml:space="preserve"> is the asymptote and </w:t>
      </w:r>
      <w:r w:rsidRPr="00D339F4">
        <w:rPr>
          <w:i/>
        </w:rPr>
        <w:t>k</w:t>
      </w:r>
      <w:r w:rsidRPr="00D339F4">
        <w:t xml:space="preserve"> is a calibration parameter (Hawkins, 1993). CN</w:t>
      </w:r>
      <w:r w:rsidRPr="00D339F4">
        <w:rPr>
          <w:vertAlign w:val="subscript"/>
        </w:rPr>
        <w:t>∞</w:t>
      </w:r>
      <w:r w:rsidRPr="00D339F4">
        <w:t xml:space="preserve"> is the smallest possible value of CN for a watershed and is approached only at large values of </w:t>
      </w:r>
      <w:r w:rsidRPr="00D339F4">
        <w:rPr>
          <w:i/>
          <w:iCs/>
        </w:rPr>
        <w:t>P</w:t>
      </w:r>
      <w:r w:rsidRPr="00D339F4">
        <w:rPr>
          <w:iCs/>
        </w:rPr>
        <w:t xml:space="preserve">. To develop eq. </w:t>
      </w:r>
      <w:r w:rsidR="00B615A2" w:rsidRPr="00B615A2">
        <w:rPr>
          <w:iCs/>
        </w:rPr>
        <w:t>(7)</w:t>
      </w:r>
      <w:r w:rsidRPr="00D339F4">
        <w:rPr>
          <w:iCs/>
        </w:rPr>
        <w:t xml:space="preserve">, measured values of </w:t>
      </w:r>
      <w:r w:rsidRPr="00D339F4">
        <w:rPr>
          <w:i/>
          <w:iCs/>
        </w:rPr>
        <w:t>Q</w:t>
      </w:r>
      <w:r w:rsidRPr="00D339F4">
        <w:rPr>
          <w:iCs/>
        </w:rPr>
        <w:t xml:space="preserve">, ideally for a large range of values of </w:t>
      </w:r>
      <w:r w:rsidRPr="00D339F4">
        <w:rPr>
          <w:i/>
          <w:iCs/>
        </w:rPr>
        <w:t>P</w:t>
      </w:r>
      <w:r w:rsidRPr="00D339F4">
        <w:rPr>
          <w:iCs/>
        </w:rPr>
        <w:t xml:space="preserve">, are needed. The usual procedure involves “frequency matching” the data </w:t>
      </w:r>
      <w:r w:rsidRPr="00D339F4">
        <w:t>(Hawkins, 1993)</w:t>
      </w:r>
      <w:r w:rsidRPr="00D339F4">
        <w:rPr>
          <w:iCs/>
        </w:rPr>
        <w:t xml:space="preserve">, i.e. </w:t>
      </w:r>
      <w:r w:rsidRPr="00D339F4">
        <w:t xml:space="preserve">sorting the values of </w:t>
      </w:r>
      <w:r w:rsidRPr="00D339F4">
        <w:rPr>
          <w:i/>
          <w:iCs/>
        </w:rPr>
        <w:t>P</w:t>
      </w:r>
      <w:r w:rsidRPr="00D339F4">
        <w:t xml:space="preserve"> and </w:t>
      </w:r>
      <w:r w:rsidRPr="00D339F4">
        <w:rPr>
          <w:i/>
          <w:iCs/>
        </w:rPr>
        <w:t>Q</w:t>
      </w:r>
      <w:r w:rsidRPr="00D339F4">
        <w:t xml:space="preserve"> separately, and pairing them according to their rank</w:t>
      </w:r>
      <w:r w:rsidRPr="00D339F4">
        <w:rPr>
          <w:iCs/>
        </w:rPr>
        <w:t xml:space="preserve">. CN </w:t>
      </w:r>
      <w:r w:rsidRPr="00D339F4">
        <w:t xml:space="preserve">for each pair is then calculated using eqs. </w:t>
      </w:r>
      <w:r w:rsidR="00B615A2" w:rsidRPr="00B615A2">
        <w:t>(5)</w:t>
      </w:r>
      <w:r w:rsidRPr="00D339F4">
        <w:t xml:space="preserve"> and </w:t>
      </w:r>
      <w:r w:rsidR="00B615A2" w:rsidRPr="00B615A2">
        <w:t>(6)</w:t>
      </w:r>
      <w:r w:rsidRPr="00D339F4">
        <w:t xml:space="preserve">. Frequency matching reduces the scatter of data points around the best fit curve in a CN vs. </w:t>
      </w:r>
      <w:r w:rsidRPr="00D339F4">
        <w:rPr>
          <w:i/>
        </w:rPr>
        <w:t>P</w:t>
      </w:r>
      <w:r w:rsidRPr="00D339F4">
        <w:t xml:space="preserve"> plot.</w:t>
      </w:r>
    </w:p>
    <w:p w:rsidR="00F02773" w:rsidRDefault="00D339F4" w:rsidP="00F02773">
      <w:pPr>
        <w:pStyle w:val="NormalNew"/>
      </w:pPr>
      <w:r w:rsidRPr="00D339F4">
        <w:t xml:space="preserve">A </w:t>
      </w:r>
      <w:r w:rsidRPr="00D339F4">
        <w:rPr>
          <w:i/>
        </w:rPr>
        <w:t>standard behavior</w:t>
      </w:r>
      <w:r w:rsidRPr="00D339F4">
        <w:t xml:space="preserve"> of CN was also observed in two watersheds (BC5 and BC1) near Greenville, South Carolina, USA </w:t>
      </w:r>
      <w:r w:rsidRPr="00D339F4">
        <w:rPr>
          <w:iCs/>
        </w:rPr>
        <w:t>[</w:t>
      </w:r>
      <w:r w:rsidR="00B615A2" w:rsidRPr="00B615A2">
        <w:t>Figure 2</w:t>
      </w:r>
      <w:r w:rsidRPr="00D339F4">
        <w:rPr>
          <w:iCs/>
        </w:rPr>
        <w:t>(a) and 2(b)]</w:t>
      </w:r>
      <w:r w:rsidRPr="00D339F4">
        <w:t xml:space="preserve">. In these watersheds, CN (calculated using </w:t>
      </w:r>
      <w:r w:rsidRPr="00D339F4">
        <w:rPr>
          <w:i/>
          <w:iCs/>
        </w:rPr>
        <w:t>λ</w:t>
      </w:r>
      <w:r w:rsidRPr="00D339F4">
        <w:t xml:space="preserve"> = 0.2) decreased from 97 to 50 as </w:t>
      </w:r>
      <w:r w:rsidRPr="00D339F4">
        <w:rPr>
          <w:i/>
        </w:rPr>
        <w:t>P</w:t>
      </w:r>
      <w:r w:rsidRPr="00D339F4">
        <w:t xml:space="preserve"> increased from 2 mm to 128 mm. The data was characterized by a modest scatter (R</w:t>
      </w:r>
      <w:r w:rsidRPr="00D339F4">
        <w:rPr>
          <w:vertAlign w:val="superscript"/>
        </w:rPr>
        <w:t>2</w:t>
      </w:r>
      <w:r w:rsidRPr="00D339F4">
        <w:t xml:space="preserve"> = 0.9) about the best fit curve based on a quadratic function of </w:t>
      </w:r>
      <w:r w:rsidRPr="00D339F4">
        <w:rPr>
          <w:i/>
        </w:rPr>
        <w:t>P</w:t>
      </w:r>
      <w:r w:rsidRPr="00D339F4">
        <w:t>. Description of these watersheds is given by</w:t>
      </w:r>
      <w:r w:rsidR="0074490C">
        <w:t xml:space="preserve"> Santikari (2017) and</w:t>
      </w:r>
      <w:r w:rsidRPr="00D339F4">
        <w:t xml:space="preserve"> </w:t>
      </w:r>
      <w:r w:rsidR="003F320E">
        <w:t>Santikari and Murdoch (</w:t>
      </w:r>
      <w:r w:rsidR="003923C9">
        <w:t>2018</w:t>
      </w:r>
      <w:r w:rsidRPr="00D339F4">
        <w:t>). The justification for using quadratic functions follows from the analysis of heterogeneity presented in Section-2.</w:t>
      </w:r>
    </w:p>
    <w:p w:rsidR="003E7194" w:rsidRDefault="00F02773" w:rsidP="00F02773">
      <w:pPr>
        <w:pStyle w:val="NormalNew"/>
      </w:pPr>
      <w:r w:rsidRPr="00D339F4">
        <w:t xml:space="preserve">The approach used in </w:t>
      </w:r>
      <w:r w:rsidR="00B615A2" w:rsidRPr="00B615A2">
        <w:t>Figure 2</w:t>
      </w:r>
      <w:r w:rsidRPr="00D339F4">
        <w:rPr>
          <w:iCs/>
        </w:rPr>
        <w:t xml:space="preserve">(a) and 2(b) avoids the commonly used frequency matching, e.g. </w:t>
      </w:r>
      <w:r w:rsidRPr="00D339F4">
        <w:t>(Hawkins, 1993)</w:t>
      </w:r>
      <w:r w:rsidRPr="00D339F4">
        <w:rPr>
          <w:iCs/>
        </w:rPr>
        <w:t xml:space="preserve">. </w:t>
      </w:r>
      <w:r w:rsidRPr="00D339F4">
        <w:t>Each CN value in the plot was calculated using the</w:t>
      </w:r>
      <w:r w:rsidRPr="00D339F4">
        <w:rPr>
          <w:i/>
          <w:iCs/>
        </w:rPr>
        <w:t xml:space="preserve"> P</w:t>
      </w:r>
      <w:r w:rsidRPr="00D339F4">
        <w:t>-</w:t>
      </w:r>
      <w:r w:rsidRPr="00D339F4">
        <w:rPr>
          <w:i/>
          <w:iCs/>
        </w:rPr>
        <w:t>Q</w:t>
      </w:r>
      <w:r w:rsidRPr="00D339F4">
        <w:t xml:space="preserve"> pair from the same storm event. Frequency matching would significantly reduce the scatter in the plot, but it would also downplay the importance of CN variation due to antecedent conditions. Reducing the scatter by accounting for antecedent conditions, e.g. using antecedent moisture (Mishra et al., 2006), is a better approach.</w:t>
      </w:r>
    </w:p>
    <w:p w:rsidR="00587EFA" w:rsidRPr="00D339F4" w:rsidRDefault="00587EFA" w:rsidP="00F02773">
      <w:pPr>
        <w:pStyle w:val="NormalNew"/>
      </w:pPr>
      <w:r w:rsidRPr="00D339F4">
        <w:t xml:space="preserve">The hypotheses given by </w:t>
      </w:r>
      <w:r>
        <w:t>Hawkins</w:t>
      </w:r>
      <w:r w:rsidRPr="00D339F4">
        <w:t xml:space="preserve"> </w:t>
      </w:r>
      <w:r>
        <w:t>(</w:t>
      </w:r>
      <w:r w:rsidRPr="00D339F4">
        <w:t xml:space="preserve">1993) are valid, but insufficient to explain the </w:t>
      </w:r>
      <w:r w:rsidRPr="00D339F4">
        <w:rPr>
          <w:i/>
        </w:rPr>
        <w:t>standard</w:t>
      </w:r>
      <w:r w:rsidRPr="00D339F4">
        <w:t xml:space="preserve"> and </w:t>
      </w:r>
      <w:r w:rsidRPr="00D339F4">
        <w:rPr>
          <w:i/>
        </w:rPr>
        <w:t>complacent behaviors</w:t>
      </w:r>
      <w:r w:rsidRPr="00D339F4">
        <w:t xml:space="preserve">. It may be true that small rainfalls produce runoff only under wet (large CN) conditions and therefore only the large CN values are recorded. However, if one has a large enough sample of storms, some of the larger storms also must have occurred during wet </w:t>
      </w:r>
      <w:r w:rsidRPr="00D339F4">
        <w:lastRenderedPageBreak/>
        <w:t xml:space="preserve">conditions. For the larger storms, therefore, one would expect to see the whole spectrum of CN values ranging from the largest to the smallest. However, this is not the case. As </w:t>
      </w:r>
      <w:r w:rsidRPr="00D339F4">
        <w:rPr>
          <w:i/>
          <w:iCs/>
        </w:rPr>
        <w:t>P</w:t>
      </w:r>
      <w:r w:rsidRPr="00D339F4">
        <w:t xml:space="preserve"> increases, the values of CN decrease consistently [</w:t>
      </w:r>
      <w:r w:rsidRPr="00B615A2">
        <w:t>Figure 2</w:t>
      </w:r>
      <w:r w:rsidRPr="00D339F4">
        <w:t>(a) and 2(b)].</w:t>
      </w:r>
    </w:p>
    <w:p w:rsidR="00D339F4" w:rsidRPr="00D339F4" w:rsidRDefault="00D339F4" w:rsidP="00D339F4">
      <w:pPr>
        <w:keepNext/>
        <w:spacing w:line="480" w:lineRule="auto"/>
        <w:jc w:val="center"/>
        <w:rPr>
          <w:rFonts w:eastAsia="Calibri"/>
          <w:szCs w:val="22"/>
        </w:rPr>
      </w:pPr>
      <w:r w:rsidRPr="00D339F4">
        <w:rPr>
          <w:rFonts w:eastAsia="Calibri"/>
          <w:noProof/>
          <w:szCs w:val="22"/>
        </w:rPr>
        <w:drawing>
          <wp:inline distT="0" distB="0" distL="0" distR="0" wp14:anchorId="627C7936" wp14:editId="5C42F4D7">
            <wp:extent cx="5457240" cy="4009320"/>
            <wp:effectExtent l="0" t="0" r="0" b="0"/>
            <wp:docPr id="22" name="Picture 4" descr="CN and I vs P Unsorted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 and I vs P Unsorted 2.EMF"/>
                    <pic:cNvPicPr/>
                  </pic:nvPicPr>
                  <pic:blipFill>
                    <a:blip r:embed="rId16" cstate="print"/>
                    <a:stretch>
                      <a:fillRect/>
                    </a:stretch>
                  </pic:blipFill>
                  <pic:spPr>
                    <a:xfrm>
                      <a:off x="0" y="0"/>
                      <a:ext cx="5457240" cy="4009320"/>
                    </a:xfrm>
                    <a:prstGeom prst="rect">
                      <a:avLst/>
                    </a:prstGeom>
                  </pic:spPr>
                </pic:pic>
              </a:graphicData>
            </a:graphic>
          </wp:inline>
        </w:drawing>
      </w:r>
    </w:p>
    <w:p w:rsidR="003E7194" w:rsidRPr="00587EFA" w:rsidRDefault="00D339F4" w:rsidP="00587EFA">
      <w:pPr>
        <w:spacing w:after="200"/>
        <w:rPr>
          <w:rFonts w:ascii="Arial" w:eastAsia="Calibri" w:hAnsi="Arial" w:cs="Arial"/>
          <w:sz w:val="20"/>
          <w:szCs w:val="20"/>
        </w:rPr>
      </w:pPr>
      <w:bookmarkStart w:id="20" w:name="_Ref430464155"/>
      <w:bookmarkStart w:id="21" w:name="_Toc481390022"/>
      <w:r w:rsidRPr="00A75290">
        <w:rPr>
          <w:rFonts w:ascii="Arial" w:eastAsia="Calibri" w:hAnsi="Arial" w:cs="Arial"/>
          <w:b/>
          <w:bCs/>
          <w:sz w:val="18"/>
          <w:szCs w:val="18"/>
        </w:rPr>
        <w:t xml:space="preserve">Figure </w:t>
      </w:r>
      <w:r w:rsidR="00B615A2">
        <w:rPr>
          <w:rFonts w:ascii="Arial" w:eastAsia="Calibri" w:hAnsi="Arial" w:cs="Arial"/>
          <w:b/>
          <w:bCs/>
          <w:noProof/>
          <w:sz w:val="18"/>
          <w:szCs w:val="18"/>
        </w:rPr>
        <w:t>2</w:t>
      </w:r>
      <w:bookmarkEnd w:id="20"/>
      <w:r w:rsidRPr="00A75290">
        <w:rPr>
          <w:rFonts w:ascii="Arial" w:eastAsia="Calibri" w:hAnsi="Arial" w:cs="Arial"/>
          <w:b/>
          <w:bCs/>
          <w:sz w:val="18"/>
          <w:szCs w:val="18"/>
        </w:rPr>
        <w:t>.</w:t>
      </w:r>
      <w:r w:rsidRPr="00A75290">
        <w:rPr>
          <w:rFonts w:ascii="Arial" w:eastAsia="Calibri" w:hAnsi="Arial" w:cs="Arial"/>
          <w:bCs/>
          <w:sz w:val="18"/>
          <w:szCs w:val="18"/>
        </w:rPr>
        <w:t xml:space="preserve"> </w:t>
      </w:r>
      <w:r w:rsidRPr="00A75290">
        <w:rPr>
          <w:rFonts w:ascii="Arial" w:eastAsia="Calibri" w:hAnsi="Arial" w:cs="Arial"/>
          <w:sz w:val="18"/>
          <w:szCs w:val="18"/>
        </w:rPr>
        <w:t>Variation of CN (</w:t>
      </w:r>
      <w:r w:rsidRPr="00A75290">
        <w:rPr>
          <w:rFonts w:ascii="Arial" w:eastAsia="Calibri" w:hAnsi="Arial" w:cs="Arial"/>
          <w:i/>
          <w:sz w:val="18"/>
          <w:szCs w:val="18"/>
        </w:rPr>
        <w:t>λ</w:t>
      </w:r>
      <w:r w:rsidRPr="00A75290">
        <w:rPr>
          <w:rFonts w:ascii="Arial" w:eastAsia="Calibri" w:hAnsi="Arial" w:cs="Arial"/>
          <w:sz w:val="18"/>
          <w:szCs w:val="18"/>
        </w:rPr>
        <w:t xml:space="preserve"> = 0.2) with </w:t>
      </w:r>
      <w:r w:rsidRPr="00A75290">
        <w:rPr>
          <w:rFonts w:ascii="Arial" w:eastAsia="Calibri" w:hAnsi="Arial" w:cs="Arial"/>
          <w:i/>
          <w:sz w:val="18"/>
          <w:szCs w:val="18"/>
        </w:rPr>
        <w:t>P</w:t>
      </w:r>
      <w:r w:rsidRPr="00A75290">
        <w:rPr>
          <w:rFonts w:ascii="Arial" w:eastAsia="Calibri" w:hAnsi="Arial" w:cs="Arial"/>
          <w:sz w:val="18"/>
          <w:szCs w:val="18"/>
        </w:rPr>
        <w:t xml:space="preserve"> in watersheds (a) BC5, (b) BC1, near Greenville, SC. Variation of </w:t>
      </w:r>
      <w:r w:rsidRPr="00A75290">
        <w:rPr>
          <w:rFonts w:ascii="Arial" w:eastAsia="Calibri" w:hAnsi="Arial" w:cs="Arial"/>
          <w:i/>
          <w:sz w:val="18"/>
          <w:szCs w:val="18"/>
        </w:rPr>
        <w:t>I</w:t>
      </w:r>
      <w:r w:rsidRPr="00A75290">
        <w:rPr>
          <w:rFonts w:ascii="Arial" w:eastAsia="Calibri" w:hAnsi="Arial" w:cs="Arial"/>
          <w:i/>
          <w:sz w:val="18"/>
          <w:szCs w:val="18"/>
          <w:vertAlign w:val="subscript"/>
        </w:rPr>
        <w:t>a</w:t>
      </w:r>
      <w:r w:rsidRPr="00A75290">
        <w:rPr>
          <w:rFonts w:ascii="Arial" w:eastAsia="Calibri" w:hAnsi="Arial" w:cs="Arial"/>
          <w:sz w:val="18"/>
          <w:szCs w:val="18"/>
        </w:rPr>
        <w:t xml:space="preserve"> with </w:t>
      </w:r>
      <w:r w:rsidRPr="00A75290">
        <w:rPr>
          <w:rFonts w:ascii="Arial" w:eastAsia="Calibri" w:hAnsi="Arial" w:cs="Arial"/>
          <w:i/>
          <w:sz w:val="18"/>
          <w:szCs w:val="18"/>
        </w:rPr>
        <w:t>P</w:t>
      </w:r>
      <w:r w:rsidRPr="00A75290">
        <w:rPr>
          <w:rFonts w:ascii="Arial" w:eastAsia="Calibri" w:hAnsi="Arial" w:cs="Arial"/>
          <w:sz w:val="18"/>
          <w:szCs w:val="18"/>
        </w:rPr>
        <w:t xml:space="preserve"> in (c) BC5, (d) BC1 (see</w:t>
      </w:r>
      <w:r w:rsidR="0074490C">
        <w:rPr>
          <w:rFonts w:ascii="Arial" w:eastAsia="Calibri" w:hAnsi="Arial" w:cs="Arial"/>
          <w:sz w:val="18"/>
          <w:szCs w:val="18"/>
        </w:rPr>
        <w:t xml:space="preserve"> </w:t>
      </w:r>
      <w:r w:rsidR="0074490C" w:rsidRPr="00A75290">
        <w:rPr>
          <w:rFonts w:ascii="Arial" w:eastAsia="Calibri" w:hAnsi="Arial" w:cs="Arial"/>
          <w:sz w:val="18"/>
          <w:szCs w:val="18"/>
        </w:rPr>
        <w:t>Santikari</w:t>
      </w:r>
      <w:r w:rsidR="0074490C">
        <w:rPr>
          <w:rFonts w:ascii="Arial" w:eastAsia="Calibri" w:hAnsi="Arial" w:cs="Arial"/>
          <w:sz w:val="18"/>
          <w:szCs w:val="18"/>
        </w:rPr>
        <w:t xml:space="preserve"> (2017) or</w:t>
      </w:r>
      <w:r w:rsidRPr="00A75290">
        <w:rPr>
          <w:rFonts w:ascii="Arial" w:eastAsia="Calibri" w:hAnsi="Arial" w:cs="Arial"/>
          <w:sz w:val="18"/>
          <w:szCs w:val="18"/>
        </w:rPr>
        <w:t xml:space="preserve"> </w:t>
      </w:r>
      <w:r w:rsidR="007B1456" w:rsidRPr="00A75290">
        <w:rPr>
          <w:rFonts w:ascii="Arial" w:eastAsia="Calibri" w:hAnsi="Arial" w:cs="Arial"/>
          <w:sz w:val="18"/>
          <w:szCs w:val="18"/>
        </w:rPr>
        <w:t>Santikari and Murdoch</w:t>
      </w:r>
      <w:r w:rsidRPr="00A75290">
        <w:rPr>
          <w:rFonts w:ascii="Arial" w:eastAsia="Calibri" w:hAnsi="Arial" w:cs="Arial"/>
          <w:sz w:val="18"/>
          <w:szCs w:val="18"/>
        </w:rPr>
        <w:t xml:space="preserve"> </w:t>
      </w:r>
      <w:r w:rsidR="007B1456" w:rsidRPr="00A75290">
        <w:rPr>
          <w:rFonts w:ascii="Arial" w:eastAsia="Calibri" w:hAnsi="Arial" w:cs="Arial"/>
          <w:sz w:val="18"/>
          <w:szCs w:val="18"/>
        </w:rPr>
        <w:t>(</w:t>
      </w:r>
      <w:r w:rsidR="003923C9" w:rsidRPr="00A75290">
        <w:rPr>
          <w:rFonts w:ascii="Arial" w:eastAsia="Calibri" w:hAnsi="Arial" w:cs="Arial"/>
          <w:sz w:val="18"/>
          <w:szCs w:val="18"/>
        </w:rPr>
        <w:t>2018</w:t>
      </w:r>
      <w:r w:rsidRPr="00A75290">
        <w:rPr>
          <w:rFonts w:ascii="Arial" w:eastAsia="Calibri" w:hAnsi="Arial" w:cs="Arial"/>
          <w:sz w:val="18"/>
          <w:szCs w:val="18"/>
        </w:rPr>
        <w:t xml:space="preserve">) for study area description). Best fit curves for </w:t>
      </w:r>
      <w:r w:rsidRPr="00A75290">
        <w:rPr>
          <w:rFonts w:ascii="Arial" w:eastAsia="Calibri" w:hAnsi="Arial" w:cs="Arial"/>
          <w:i/>
          <w:sz w:val="18"/>
          <w:szCs w:val="18"/>
        </w:rPr>
        <w:t>I</w:t>
      </w:r>
      <w:r w:rsidRPr="00A75290">
        <w:rPr>
          <w:rFonts w:ascii="Arial" w:eastAsia="Calibri" w:hAnsi="Arial" w:cs="Arial"/>
          <w:i/>
          <w:sz w:val="18"/>
          <w:szCs w:val="18"/>
          <w:vertAlign w:val="subscript"/>
        </w:rPr>
        <w:t>a</w:t>
      </w:r>
      <w:r w:rsidRPr="00A75290">
        <w:rPr>
          <w:rFonts w:ascii="Arial" w:eastAsia="Calibri" w:hAnsi="Arial" w:cs="Arial"/>
          <w:sz w:val="18"/>
          <w:szCs w:val="18"/>
        </w:rPr>
        <w:t xml:space="preserve"> are quadratic functions of </w:t>
      </w:r>
      <w:r w:rsidRPr="00A75290">
        <w:rPr>
          <w:rFonts w:ascii="Arial" w:eastAsia="Calibri" w:hAnsi="Arial" w:cs="Arial"/>
          <w:i/>
          <w:sz w:val="18"/>
          <w:szCs w:val="18"/>
        </w:rPr>
        <w:t>P</w:t>
      </w:r>
      <w:r w:rsidRPr="00A75290">
        <w:rPr>
          <w:rFonts w:ascii="Arial" w:eastAsia="Calibri" w:hAnsi="Arial" w:cs="Arial"/>
          <w:sz w:val="18"/>
          <w:szCs w:val="18"/>
        </w:rPr>
        <w:t xml:space="preserve"> with zero intercept. Corresponding best fit curves for CN were derived from those of</w:t>
      </w:r>
      <w:r w:rsidRPr="00A75290">
        <w:rPr>
          <w:rFonts w:ascii="Arial" w:eastAsia="Calibri" w:hAnsi="Arial" w:cs="Arial"/>
          <w:i/>
          <w:sz w:val="18"/>
          <w:szCs w:val="18"/>
        </w:rPr>
        <w:t xml:space="preserve"> I</w:t>
      </w:r>
      <w:r w:rsidRPr="00A75290">
        <w:rPr>
          <w:rFonts w:ascii="Arial" w:eastAsia="Calibri" w:hAnsi="Arial" w:cs="Arial"/>
          <w:i/>
          <w:sz w:val="18"/>
          <w:szCs w:val="18"/>
          <w:vertAlign w:val="subscript"/>
        </w:rPr>
        <w:t>a</w:t>
      </w:r>
      <w:r w:rsidRPr="00A75290">
        <w:rPr>
          <w:rFonts w:ascii="Arial" w:eastAsia="Calibri" w:hAnsi="Arial" w:cs="Arial"/>
          <w:sz w:val="18"/>
          <w:szCs w:val="18"/>
        </w:rPr>
        <w:t xml:space="preserve"> using eqs. </w:t>
      </w:r>
      <w:r w:rsidR="00B615A2" w:rsidRPr="00B615A2">
        <w:rPr>
          <w:rFonts w:ascii="Arial" w:eastAsia="Calibri" w:hAnsi="Arial" w:cs="Arial"/>
          <w:sz w:val="18"/>
          <w:szCs w:val="18"/>
        </w:rPr>
        <w:t>(3)</w:t>
      </w:r>
      <w:r w:rsidRPr="00A75290">
        <w:rPr>
          <w:rFonts w:ascii="Arial" w:eastAsia="Calibri" w:hAnsi="Arial" w:cs="Arial"/>
          <w:sz w:val="18"/>
          <w:szCs w:val="18"/>
        </w:rPr>
        <w:t xml:space="preserve"> and </w:t>
      </w:r>
      <w:r w:rsidR="00B615A2" w:rsidRPr="00B615A2">
        <w:rPr>
          <w:rFonts w:ascii="Arial" w:eastAsia="Calibri" w:hAnsi="Arial" w:cs="Arial"/>
          <w:sz w:val="18"/>
          <w:szCs w:val="18"/>
        </w:rPr>
        <w:t>(5)</w:t>
      </w:r>
      <w:r w:rsidRPr="00D339F4">
        <w:rPr>
          <w:rFonts w:ascii="Arial" w:eastAsia="Calibri" w:hAnsi="Arial" w:cs="Arial"/>
          <w:sz w:val="20"/>
          <w:szCs w:val="20"/>
        </w:rPr>
        <w:t>.</w:t>
      </w:r>
      <w:bookmarkStart w:id="22" w:name="_Toc479817856"/>
      <w:bookmarkStart w:id="23" w:name="_Toc481658232"/>
      <w:bookmarkEnd w:id="21"/>
    </w:p>
    <w:p w:rsidR="00D339F4" w:rsidRPr="00D339F4" w:rsidRDefault="00D339F4" w:rsidP="00587EFA">
      <w:pPr>
        <w:pStyle w:val="Heading3"/>
        <w:spacing w:before="480"/>
      </w:pPr>
      <w:r w:rsidRPr="00D339F4">
        <w:t xml:space="preserve">1.3. Heterogeneity as a Cause of CN Variation with </w:t>
      </w:r>
      <w:r w:rsidRPr="00D339F4">
        <w:rPr>
          <w:i/>
        </w:rPr>
        <w:t>P</w:t>
      </w:r>
      <w:bookmarkEnd w:id="22"/>
      <w:bookmarkEnd w:id="23"/>
    </w:p>
    <w:p w:rsidR="00C56FDC" w:rsidRPr="00D339F4" w:rsidRDefault="003F320E" w:rsidP="00C56FDC">
      <w:pPr>
        <w:pStyle w:val="NormalNew"/>
      </w:pPr>
      <w:r>
        <w:t>Soulis and Valiantzas</w:t>
      </w:r>
      <w:r w:rsidR="00D339F4" w:rsidRPr="00D339F4">
        <w:t xml:space="preserve"> </w:t>
      </w:r>
      <w:r>
        <w:t>(</w:t>
      </w:r>
      <w:r w:rsidR="00D339F4" w:rsidRPr="00D339F4">
        <w:t xml:space="preserve">2012) hypothesized that the observed variation of CN with </w:t>
      </w:r>
      <w:r w:rsidR="00D339F4" w:rsidRPr="00D339F4">
        <w:rPr>
          <w:i/>
        </w:rPr>
        <w:t>P</w:t>
      </w:r>
      <w:r w:rsidR="00D339F4" w:rsidRPr="00D339F4">
        <w:t xml:space="preserve"> in the </w:t>
      </w:r>
      <w:r w:rsidR="00D339F4" w:rsidRPr="00D339F4">
        <w:rPr>
          <w:i/>
        </w:rPr>
        <w:t>standard</w:t>
      </w:r>
      <w:r w:rsidR="00D339F4" w:rsidRPr="00D339F4">
        <w:t xml:space="preserve"> and </w:t>
      </w:r>
      <w:r w:rsidR="00D339F4" w:rsidRPr="00D339F4">
        <w:rPr>
          <w:i/>
        </w:rPr>
        <w:t>complacent</w:t>
      </w:r>
      <w:r w:rsidR="00D339F4" w:rsidRPr="00D339F4">
        <w:t xml:space="preserve"> cases is a consequence of watershed heterogeneity. They assumed a hypothetical heterogeneous watershed with two subareas characterized by different CNs. They then calculated the watershed runoff, for a range of values of </w:t>
      </w:r>
      <w:r w:rsidR="00D339F4" w:rsidRPr="00D339F4">
        <w:rPr>
          <w:i/>
        </w:rPr>
        <w:t>P</w:t>
      </w:r>
      <w:r w:rsidR="00D339F4" w:rsidRPr="00D339F4">
        <w:t xml:space="preserve">, as the area-weighted average of the runoffs from the subareas. Watershed CN calculated using this runoff varied with </w:t>
      </w:r>
      <w:r w:rsidR="00D339F4" w:rsidRPr="00D339F4">
        <w:rPr>
          <w:i/>
        </w:rPr>
        <w:t>P</w:t>
      </w:r>
      <w:r w:rsidR="00D339F4" w:rsidRPr="00D339F4">
        <w:t xml:space="preserve"> akin to the </w:t>
      </w:r>
      <w:r w:rsidR="00D339F4" w:rsidRPr="00D339F4">
        <w:rPr>
          <w:i/>
        </w:rPr>
        <w:t>standard behavior</w:t>
      </w:r>
      <w:r w:rsidR="00D339F4" w:rsidRPr="00D339F4">
        <w:t xml:space="preserve">. The shape of the synthetically generated CN vs. </w:t>
      </w:r>
      <w:r w:rsidR="00D339F4" w:rsidRPr="00D339F4">
        <w:rPr>
          <w:i/>
        </w:rPr>
        <w:t>P</w:t>
      </w:r>
      <w:r w:rsidR="00D339F4" w:rsidRPr="00D339F4">
        <w:t xml:space="preserve"> curve could be matched with the observations by adjusting the areas of the subareas and their respective CNs. This idea can also be extended to multiple subareas so that the heterogeneity </w:t>
      </w:r>
      <w:r w:rsidR="00D339F4" w:rsidRPr="00D339F4">
        <w:lastRenderedPageBreak/>
        <w:t>within a watershed can be represented more accurately. However, this could lead to problems of over-parameterization, non-uniqueness, and non-convergence as pointed out by</w:t>
      </w:r>
      <w:r>
        <w:t xml:space="preserve"> Soulis and Valiantzas</w:t>
      </w:r>
      <w:r w:rsidRPr="00D339F4">
        <w:t xml:space="preserve"> </w:t>
      </w:r>
      <w:r>
        <w:t>(</w:t>
      </w:r>
      <w:r w:rsidRPr="00D339F4">
        <w:t>2012)</w:t>
      </w:r>
      <w:r w:rsidR="00D339F4" w:rsidRPr="00D339F4">
        <w:t>.</w:t>
      </w:r>
    </w:p>
    <w:p w:rsidR="00C56FDC" w:rsidRPr="00D339F4" w:rsidRDefault="00D339F4" w:rsidP="00C56FDC">
      <w:pPr>
        <w:pStyle w:val="NormalNew"/>
      </w:pPr>
      <w:r w:rsidRPr="00D339F4">
        <w:t xml:space="preserve">In a later paper, </w:t>
      </w:r>
      <w:r w:rsidR="003F320E">
        <w:t>Soulis and Valiantzas</w:t>
      </w:r>
      <w:r w:rsidR="003F320E" w:rsidRPr="00D339F4">
        <w:t xml:space="preserve"> </w:t>
      </w:r>
      <w:r w:rsidR="003F320E">
        <w:t>(2013</w:t>
      </w:r>
      <w:r w:rsidR="003F320E" w:rsidRPr="00D339F4">
        <w:t>)</w:t>
      </w:r>
      <w:r w:rsidR="003F320E">
        <w:t xml:space="preserve"> </w:t>
      </w:r>
      <w:r w:rsidRPr="00D339F4">
        <w:t xml:space="preserve">suggested using spatial information on land cover and soils to delineate the areal extent of subareas and constrain their respective CNs. This approach would reduce the number of calibrated parameters by half because it only requires the calibration of the CNs for the subareas. In essence, the multiple-subarea approach is similar to a distributed modeling approach that calculates the watershed runoff as the area-weighted average of the runoffs from the subareas, e.g. SWAT (Gassman et al., 2007). The approach used by </w:t>
      </w:r>
      <w:r w:rsidR="003F320E">
        <w:t>Soulis and Valiantzas</w:t>
      </w:r>
      <w:r w:rsidR="003F320E" w:rsidRPr="00D339F4">
        <w:t xml:space="preserve"> </w:t>
      </w:r>
      <w:r w:rsidR="003F320E">
        <w:t>(2013</w:t>
      </w:r>
      <w:r w:rsidR="003F320E" w:rsidRPr="00D339F4">
        <w:t>)</w:t>
      </w:r>
      <w:r w:rsidR="003F320E">
        <w:t xml:space="preserve"> </w:t>
      </w:r>
      <w:r w:rsidRPr="00D339F4">
        <w:t xml:space="preserve">attempts to match the observed and simulated values of CN, whereas that used by SWAT attempts to match the observed and simulated values of </w:t>
      </w:r>
      <w:r w:rsidRPr="00D339F4">
        <w:rPr>
          <w:i/>
        </w:rPr>
        <w:t>Q</w:t>
      </w:r>
      <w:r w:rsidRPr="00D339F4">
        <w:t xml:space="preserve">. Since CN and </w:t>
      </w:r>
      <w:r w:rsidRPr="00D339F4">
        <w:rPr>
          <w:i/>
        </w:rPr>
        <w:t>Q</w:t>
      </w:r>
      <w:r w:rsidRPr="00D339F4">
        <w:t xml:space="preserve"> are uniquely related for given values of </w:t>
      </w:r>
      <w:r w:rsidRPr="00D339F4">
        <w:rPr>
          <w:i/>
        </w:rPr>
        <w:t>P</w:t>
      </w:r>
      <w:r w:rsidRPr="00D339F4">
        <w:t xml:space="preserve"> and </w:t>
      </w:r>
      <w:r w:rsidRPr="00D339F4">
        <w:rPr>
          <w:i/>
          <w:iCs/>
        </w:rPr>
        <w:t>λ</w:t>
      </w:r>
      <w:r w:rsidRPr="00D339F4">
        <w:t xml:space="preserve">, these approaches are equivalent. A major implication of the work of </w:t>
      </w:r>
      <w:r w:rsidR="003F320E">
        <w:t>Soulis and Valiantzas</w:t>
      </w:r>
      <w:r w:rsidR="003F320E" w:rsidRPr="00D339F4">
        <w:t xml:space="preserve"> </w:t>
      </w:r>
      <w:r w:rsidR="003F320E">
        <w:t>(2013</w:t>
      </w:r>
      <w:r w:rsidR="003F320E" w:rsidRPr="00D339F4">
        <w:t>)</w:t>
      </w:r>
      <w:r w:rsidRPr="00D339F4">
        <w:t xml:space="preserve"> is that a distributed modeling approach can account for the </w:t>
      </w:r>
      <w:r w:rsidRPr="00D339F4">
        <w:rPr>
          <w:i/>
        </w:rPr>
        <w:t>standard</w:t>
      </w:r>
      <w:r w:rsidRPr="00D339F4">
        <w:t xml:space="preserve"> and </w:t>
      </w:r>
      <w:r w:rsidRPr="00D339F4">
        <w:rPr>
          <w:i/>
        </w:rPr>
        <w:t>complacent behaviors</w:t>
      </w:r>
      <w:r w:rsidRPr="00D339F4">
        <w:t xml:space="preserve"> of CN.</w:t>
      </w:r>
    </w:p>
    <w:p w:rsidR="00D339F4" w:rsidRPr="00D339F4" w:rsidRDefault="00D339F4" w:rsidP="00C56FDC">
      <w:pPr>
        <w:pStyle w:val="NormalNew"/>
      </w:pPr>
      <w:r w:rsidRPr="00D339F4">
        <w:t xml:space="preserve">Using a single value of CN independent of </w:t>
      </w:r>
      <w:r w:rsidRPr="00D339F4">
        <w:rPr>
          <w:i/>
        </w:rPr>
        <w:t>P</w:t>
      </w:r>
      <w:r w:rsidRPr="00D339F4">
        <w:t xml:space="preserve"> in a heterogeneous watershed can cause a systematic error in </w:t>
      </w:r>
      <w:r w:rsidRPr="00D339F4">
        <w:rPr>
          <w:i/>
        </w:rPr>
        <w:t>Q</w:t>
      </w:r>
      <w:r w:rsidRPr="00D339F4">
        <w:t>, and lead to poor predictive ability of the method. This is because when CN is constant,</w:t>
      </w:r>
      <w:r w:rsidRPr="00D339F4">
        <w:rPr>
          <w:i/>
        </w:rPr>
        <w:t xml:space="preserve"> Q</w:t>
      </w:r>
      <w:r w:rsidRPr="00D339F4">
        <w:t xml:space="preserve"> may be underestimated</w:t>
      </w:r>
      <w:r w:rsidRPr="00D339F4">
        <w:rPr>
          <w:i/>
        </w:rPr>
        <w:t xml:space="preserve"> </w:t>
      </w:r>
      <w:r w:rsidRPr="00D339F4">
        <w:t xml:space="preserve">for small </w:t>
      </w:r>
      <w:r w:rsidRPr="00D339F4">
        <w:rPr>
          <w:i/>
        </w:rPr>
        <w:t>P</w:t>
      </w:r>
      <w:r w:rsidRPr="00D339F4">
        <w:t xml:space="preserve"> and overestimated for large </w:t>
      </w:r>
      <w:r w:rsidRPr="00D339F4">
        <w:rPr>
          <w:i/>
        </w:rPr>
        <w:t>P</w:t>
      </w:r>
      <w:r w:rsidR="000E6939">
        <w:t xml:space="preserve"> [e.g. Soulis and Valianzas</w:t>
      </w:r>
      <w:r w:rsidR="000E6939" w:rsidRPr="002B00F0">
        <w:t xml:space="preserve"> (2012, 2013)</w:t>
      </w:r>
      <w:r w:rsidR="000E6939">
        <w:t>]</w:t>
      </w:r>
      <w:r w:rsidRPr="00D339F4">
        <w:t xml:space="preserve">. This problem can be addressed either by treating CN as a function of </w:t>
      </w:r>
      <w:r w:rsidRPr="00D339F4">
        <w:rPr>
          <w:i/>
        </w:rPr>
        <w:t>P</w:t>
      </w:r>
      <w:r w:rsidRPr="00D339F4">
        <w:t>, e.g. asymptotic fitting (Hawkins, 1993), or by using a distributed modeling approach that accounts for heterogeneity in sufficient detail, e.g. SWAT (Gassman et al., 2007)</w:t>
      </w:r>
      <w:r w:rsidR="000E6939">
        <w:t xml:space="preserve"> or </w:t>
      </w:r>
      <w:r w:rsidR="000E6939" w:rsidRPr="002B00F0">
        <w:t>So</w:t>
      </w:r>
      <w:r w:rsidR="000E6939">
        <w:t>ulis and Valianzas</w:t>
      </w:r>
      <w:r w:rsidR="000E6939" w:rsidRPr="002B00F0">
        <w:t xml:space="preserve"> (2013)</w:t>
      </w:r>
      <w:r w:rsidRPr="00D339F4">
        <w:t xml:space="preserve">. An understanding of the mechanism of how watershed heterogeneity leads to the variation of CN with </w:t>
      </w:r>
      <w:r w:rsidRPr="00D339F4">
        <w:rPr>
          <w:i/>
        </w:rPr>
        <w:t>P</w:t>
      </w:r>
      <w:r w:rsidRPr="00D339F4">
        <w:t xml:space="preserve"> is also important. It could help in accounting for this variation without resorting to fine discretization or over-parameterization of the CN method. To accomplish this, an analysis of the effect of heterogeneity on </w:t>
      </w:r>
      <w:r w:rsidRPr="00D339F4">
        <w:rPr>
          <w:i/>
        </w:rPr>
        <w:t>I</w:t>
      </w:r>
      <w:r w:rsidRPr="00D339F4">
        <w:rPr>
          <w:i/>
          <w:vertAlign w:val="subscript"/>
        </w:rPr>
        <w:t>a</w:t>
      </w:r>
      <w:r w:rsidRPr="00D339F4">
        <w:t xml:space="preserve"> and</w:t>
      </w:r>
      <w:r w:rsidRPr="00D339F4">
        <w:rPr>
          <w:i/>
        </w:rPr>
        <w:t xml:space="preserve"> S</w:t>
      </w:r>
      <w:r w:rsidRPr="00D339F4">
        <w:t xml:space="preserve"> is performed, which can then be used to understand the effect on CN.</w:t>
      </w:r>
    </w:p>
    <w:p w:rsidR="00D339F4" w:rsidRPr="00D339F4" w:rsidRDefault="00D339F4" w:rsidP="00D339F4">
      <w:pPr>
        <w:pStyle w:val="Heading2"/>
      </w:pPr>
      <w:bookmarkStart w:id="24" w:name="_Toc479817857"/>
      <w:bookmarkStart w:id="25" w:name="_Toc481658233"/>
      <w:r w:rsidRPr="00D339F4">
        <w:t>2. Reevaluation of Initial Abstraction</w:t>
      </w:r>
      <w:bookmarkEnd w:id="24"/>
      <w:bookmarkEnd w:id="25"/>
    </w:p>
    <w:p w:rsidR="00C56FDC" w:rsidRPr="00D339F4" w:rsidRDefault="00D339F4" w:rsidP="00C56FDC">
      <w:pPr>
        <w:pStyle w:val="NormalNew"/>
      </w:pPr>
      <w:r w:rsidRPr="00D339F4">
        <w:t xml:space="preserve">The quantities CN, </w:t>
      </w:r>
      <w:r w:rsidRPr="00D339F4">
        <w:rPr>
          <w:i/>
        </w:rPr>
        <w:t>I</w:t>
      </w:r>
      <w:r w:rsidRPr="00D339F4">
        <w:rPr>
          <w:i/>
          <w:vertAlign w:val="subscript"/>
        </w:rPr>
        <w:t>a</w:t>
      </w:r>
      <w:r w:rsidRPr="00D339F4">
        <w:t xml:space="preserve"> and</w:t>
      </w:r>
      <w:r w:rsidRPr="00D339F4">
        <w:rPr>
          <w:i/>
        </w:rPr>
        <w:t xml:space="preserve"> S</w:t>
      </w:r>
      <w:r w:rsidRPr="00D339F4">
        <w:t xml:space="preserve"> are considered to be the properties of a watershed that depend on current conditions. In usual practice, CN estimated for a certain set of conditions is applicable to any rainfall event occurring in those conditions irrespective of the magnitude of </w:t>
      </w:r>
      <w:r w:rsidRPr="00D339F4">
        <w:rPr>
          <w:i/>
        </w:rPr>
        <w:t>P</w:t>
      </w:r>
      <w:r w:rsidRPr="00D339F4">
        <w:t xml:space="preserve">. However, in every watershed evaluated by the previous studies (D’Asaro and Grillone, 2012; Hawkins, 1993) the CN varied with </w:t>
      </w:r>
      <w:r w:rsidRPr="00D339F4">
        <w:rPr>
          <w:i/>
        </w:rPr>
        <w:t>P</w:t>
      </w:r>
      <w:r w:rsidRPr="00D339F4">
        <w:t xml:space="preserve">. If so, since </w:t>
      </w:r>
      <w:r w:rsidRPr="00D339F4">
        <w:rPr>
          <w:i/>
        </w:rPr>
        <w:t>I</w:t>
      </w:r>
      <w:r w:rsidRPr="00D339F4">
        <w:rPr>
          <w:i/>
          <w:vertAlign w:val="subscript"/>
        </w:rPr>
        <w:t>a</w:t>
      </w:r>
      <w:r w:rsidRPr="00D339F4">
        <w:t xml:space="preserve"> and</w:t>
      </w:r>
      <w:r w:rsidRPr="00D339F4">
        <w:rPr>
          <w:i/>
        </w:rPr>
        <w:t xml:space="preserve"> S</w:t>
      </w:r>
      <w:r w:rsidRPr="00D339F4">
        <w:t xml:space="preserve"> are inversely related to CN [eqs. </w:t>
      </w:r>
      <w:r w:rsidR="00B615A2" w:rsidRPr="00B615A2">
        <w:t>(3)</w:t>
      </w:r>
      <w:r w:rsidRPr="00D339F4">
        <w:t xml:space="preserve"> and </w:t>
      </w:r>
      <w:r w:rsidR="00B615A2" w:rsidRPr="00B615A2">
        <w:t>(5)</w:t>
      </w:r>
      <w:r w:rsidRPr="00D339F4">
        <w:t xml:space="preserve">], one can expect that they too vary with </w:t>
      </w:r>
      <w:r w:rsidRPr="00D339F4">
        <w:rPr>
          <w:i/>
        </w:rPr>
        <w:t>P</w:t>
      </w:r>
      <w:r w:rsidRPr="00D339F4">
        <w:t xml:space="preserve"> but inversely to that of CN. The calculated values of </w:t>
      </w:r>
      <w:r w:rsidRPr="00D339F4">
        <w:rPr>
          <w:i/>
        </w:rPr>
        <w:t>I</w:t>
      </w:r>
      <w:r w:rsidRPr="00D339F4">
        <w:rPr>
          <w:i/>
          <w:vertAlign w:val="subscript"/>
        </w:rPr>
        <w:t>a</w:t>
      </w:r>
      <w:r w:rsidRPr="00D339F4">
        <w:t xml:space="preserve"> </w:t>
      </w:r>
      <w:r w:rsidR="00B05479">
        <w:rPr>
          <w:rFonts w:eastAsiaTheme="minorHAnsi"/>
          <w:szCs w:val="24"/>
        </w:rPr>
        <w:t xml:space="preserve">[using eqs. (3), (6), and </w:t>
      </w:r>
      <w:r w:rsidR="00B05479" w:rsidRPr="00F4474F">
        <w:rPr>
          <w:rFonts w:eastAsiaTheme="minorHAnsi"/>
          <w:i/>
          <w:szCs w:val="24"/>
        </w:rPr>
        <w:t>λ</w:t>
      </w:r>
      <w:r w:rsidR="00B05479">
        <w:rPr>
          <w:rFonts w:eastAsiaTheme="minorHAnsi"/>
          <w:szCs w:val="24"/>
        </w:rPr>
        <w:t xml:space="preserve"> = 0.2] </w:t>
      </w:r>
      <w:r w:rsidRPr="00D339F4">
        <w:t xml:space="preserve">for watersheds BC5 and BC1 near Greenville, SC, increase with </w:t>
      </w:r>
      <w:r w:rsidRPr="00D339F4">
        <w:rPr>
          <w:i/>
        </w:rPr>
        <w:t>P</w:t>
      </w:r>
      <w:r w:rsidRPr="00D339F4">
        <w:t xml:space="preserve"> and appear to approach a constant at large values of </w:t>
      </w:r>
      <w:r w:rsidRPr="00D339F4">
        <w:rPr>
          <w:i/>
        </w:rPr>
        <w:t>P</w:t>
      </w:r>
      <w:r w:rsidRPr="00D339F4">
        <w:t xml:space="preserve"> [</w:t>
      </w:r>
      <w:r w:rsidR="00B615A2" w:rsidRPr="00B615A2">
        <w:t>Figure 2</w:t>
      </w:r>
      <w:r w:rsidRPr="00D339F4">
        <w:t xml:space="preserve">(c) and 2(d)]. A plot of </w:t>
      </w:r>
      <w:r w:rsidRPr="00D339F4">
        <w:rPr>
          <w:i/>
        </w:rPr>
        <w:t>S</w:t>
      </w:r>
      <w:r w:rsidRPr="00D339F4">
        <w:t xml:space="preserve"> vs. </w:t>
      </w:r>
      <w:r w:rsidRPr="00D339F4">
        <w:rPr>
          <w:i/>
        </w:rPr>
        <w:t>P</w:t>
      </w:r>
      <w:r w:rsidRPr="00D339F4">
        <w:t xml:space="preserve"> would be similar to the</w:t>
      </w:r>
      <w:r w:rsidRPr="00D339F4">
        <w:rPr>
          <w:i/>
        </w:rPr>
        <w:t xml:space="preserve"> I</w:t>
      </w:r>
      <w:r w:rsidRPr="00D339F4">
        <w:rPr>
          <w:i/>
          <w:vertAlign w:val="subscript"/>
        </w:rPr>
        <w:t>a</w:t>
      </w:r>
      <w:r w:rsidRPr="00D339F4">
        <w:t xml:space="preserve"> vs. </w:t>
      </w:r>
      <w:r w:rsidRPr="00D339F4">
        <w:rPr>
          <w:i/>
        </w:rPr>
        <w:t>P</w:t>
      </w:r>
      <w:r w:rsidRPr="00D339F4">
        <w:t xml:space="preserve"> plot, with the </w:t>
      </w:r>
      <w:r w:rsidRPr="00D339F4">
        <w:rPr>
          <w:i/>
        </w:rPr>
        <w:t>y</w:t>
      </w:r>
      <w:r w:rsidRPr="00D339F4">
        <w:t>–coordinate scaled by 1/</w:t>
      </w:r>
      <w:r w:rsidRPr="00D339F4">
        <w:rPr>
          <w:i/>
        </w:rPr>
        <w:t>λ</w:t>
      </w:r>
      <w:r w:rsidRPr="00D339F4">
        <w:t>.</w:t>
      </w:r>
    </w:p>
    <w:p w:rsidR="00D339F4" w:rsidRPr="00D339F4" w:rsidRDefault="00D339F4" w:rsidP="00C56FDC">
      <w:pPr>
        <w:pStyle w:val="NormalNew"/>
      </w:pPr>
      <w:r w:rsidRPr="00D339F4">
        <w:t xml:space="preserve">To evaluate the link between heterogeneity in </w:t>
      </w:r>
      <w:r w:rsidRPr="00D339F4">
        <w:rPr>
          <w:i/>
        </w:rPr>
        <w:t>I</w:t>
      </w:r>
      <w:r w:rsidRPr="00D339F4">
        <w:rPr>
          <w:i/>
          <w:vertAlign w:val="subscript"/>
        </w:rPr>
        <w:t>a</w:t>
      </w:r>
      <w:r w:rsidRPr="00D339F4">
        <w:t xml:space="preserve"> and its variation with </w:t>
      </w:r>
      <w:r w:rsidRPr="00D339F4">
        <w:rPr>
          <w:i/>
        </w:rPr>
        <w:t>P</w:t>
      </w:r>
      <w:r w:rsidRPr="00D339F4">
        <w:t xml:space="preserve">, we looked at how the effective </w:t>
      </w:r>
      <w:r w:rsidRPr="00D339F4">
        <w:rPr>
          <w:i/>
        </w:rPr>
        <w:t>I</w:t>
      </w:r>
      <w:r w:rsidRPr="00D339F4">
        <w:rPr>
          <w:i/>
          <w:vertAlign w:val="subscript"/>
        </w:rPr>
        <w:t>a</w:t>
      </w:r>
      <w:r w:rsidRPr="00D339F4">
        <w:t xml:space="preserve"> of a heterogeneous watershed is determined and whether it is affected by the magnitude of </w:t>
      </w:r>
      <w:r w:rsidRPr="00D339F4">
        <w:rPr>
          <w:i/>
        </w:rPr>
        <w:t>P</w:t>
      </w:r>
      <w:r w:rsidRPr="00D339F4">
        <w:t xml:space="preserve">. Our analysis shows that there is an inconsistency </w:t>
      </w:r>
      <w:r w:rsidRPr="00D339F4">
        <w:lastRenderedPageBreak/>
        <w:t xml:space="preserve">between the theoretical definition of </w:t>
      </w:r>
      <w:r w:rsidRPr="00D339F4">
        <w:rPr>
          <w:i/>
          <w:iCs/>
        </w:rPr>
        <w:t>I</w:t>
      </w:r>
      <w:r w:rsidRPr="00D339F4">
        <w:rPr>
          <w:i/>
          <w:iCs/>
          <w:vertAlign w:val="subscript"/>
        </w:rPr>
        <w:t>a</w:t>
      </w:r>
      <w:r w:rsidRPr="00D339F4">
        <w:t xml:space="preserve"> and its calculated value at the watershed scale. It also shows how heterogeneity can cause </w:t>
      </w:r>
      <w:r w:rsidRPr="00D339F4">
        <w:rPr>
          <w:i/>
        </w:rPr>
        <w:t>I</w:t>
      </w:r>
      <w:r w:rsidRPr="00D339F4">
        <w:rPr>
          <w:i/>
          <w:vertAlign w:val="subscript"/>
        </w:rPr>
        <w:t>a</w:t>
      </w:r>
      <w:r w:rsidRPr="00D339F4">
        <w:t xml:space="preserve"> to vary with </w:t>
      </w:r>
      <w:r w:rsidRPr="00D339F4">
        <w:rPr>
          <w:i/>
        </w:rPr>
        <w:t>P</w:t>
      </w:r>
      <w:r w:rsidRPr="00D339F4">
        <w:t xml:space="preserve">, and how this relates to variations of </w:t>
      </w:r>
      <w:r w:rsidRPr="00D339F4">
        <w:rPr>
          <w:i/>
        </w:rPr>
        <w:t>S</w:t>
      </w:r>
      <w:r w:rsidRPr="00D339F4">
        <w:t xml:space="preserve"> and CN with </w:t>
      </w:r>
      <w:r w:rsidRPr="00D339F4">
        <w:rPr>
          <w:i/>
        </w:rPr>
        <w:t>P</w:t>
      </w:r>
      <w:r w:rsidRPr="00D339F4">
        <w:t>.</w:t>
      </w:r>
    </w:p>
    <w:p w:rsidR="00D339F4" w:rsidRPr="00D339F4" w:rsidRDefault="00D339F4" w:rsidP="00D339F4">
      <w:pPr>
        <w:pStyle w:val="Heading3"/>
      </w:pPr>
      <w:bookmarkStart w:id="26" w:name="_Toc479817858"/>
      <w:bookmarkStart w:id="27" w:name="_Toc481658234"/>
      <w:r w:rsidRPr="00D339F4">
        <w:t xml:space="preserve">2.1. Problems with the Current Usage of </w:t>
      </w:r>
      <w:r w:rsidRPr="00D339F4">
        <w:rPr>
          <w:i/>
          <w:iCs/>
        </w:rPr>
        <w:t>I</w:t>
      </w:r>
      <w:r w:rsidRPr="00D339F4">
        <w:rPr>
          <w:i/>
          <w:iCs/>
          <w:vertAlign w:val="subscript"/>
        </w:rPr>
        <w:t>a</w:t>
      </w:r>
      <w:bookmarkEnd w:id="26"/>
      <w:bookmarkEnd w:id="27"/>
    </w:p>
    <w:p w:rsidR="00C56FDC" w:rsidRPr="00D339F4" w:rsidRDefault="00D339F4" w:rsidP="00C56FDC">
      <w:pPr>
        <w:pStyle w:val="NormalNew"/>
      </w:pPr>
      <w:r w:rsidRPr="00D339F4">
        <w:t xml:space="preserve">By the theoretical definition of </w:t>
      </w:r>
      <w:r w:rsidRPr="00D339F4">
        <w:rPr>
          <w:i/>
          <w:iCs/>
        </w:rPr>
        <w:t>I</w:t>
      </w:r>
      <w:r w:rsidRPr="00D339F4">
        <w:rPr>
          <w:i/>
          <w:iCs/>
          <w:vertAlign w:val="subscript"/>
        </w:rPr>
        <w:t>a</w:t>
      </w:r>
      <w:r w:rsidRPr="00D339F4">
        <w:t xml:space="preserve">, if runoff is detected in the hydrograph, it is assumed that </w:t>
      </w:r>
      <w:r w:rsidRPr="00D339F4">
        <w:rPr>
          <w:i/>
          <w:iCs/>
        </w:rPr>
        <w:t>I</w:t>
      </w:r>
      <w:r w:rsidRPr="00D339F4">
        <w:rPr>
          <w:i/>
          <w:iCs/>
          <w:vertAlign w:val="subscript"/>
        </w:rPr>
        <w:t>a</w:t>
      </w:r>
      <w:r w:rsidRPr="00D339F4">
        <w:t xml:space="preserve"> has been met for the watershed. Watersheds are heterogeneous combinations of various land</w:t>
      </w:r>
      <w:r w:rsidR="003F320E">
        <w:t xml:space="preserve"> </w:t>
      </w:r>
      <w:r w:rsidRPr="00D339F4">
        <w:t>use-soil-slope complexes. These are referred to as Hydrologic Response Units (HRUs) in SWAT (Gassman et al., 2007), and the same term is also used here. Each HRU is assumed to be homogeneous, and is characterized by representative values of CN (CN</w:t>
      </w:r>
      <w:r w:rsidRPr="00D339F4">
        <w:rPr>
          <w:i/>
          <w:vertAlign w:val="subscript"/>
        </w:rPr>
        <w:t>i</w:t>
      </w:r>
      <w:r w:rsidRPr="00D339F4">
        <w:t xml:space="preserve">) and </w:t>
      </w:r>
      <w:r w:rsidRPr="00D339F4">
        <w:rPr>
          <w:i/>
          <w:iCs/>
        </w:rPr>
        <w:t>I</w:t>
      </w:r>
      <w:r w:rsidRPr="00D339F4">
        <w:rPr>
          <w:i/>
          <w:iCs/>
          <w:vertAlign w:val="subscript"/>
        </w:rPr>
        <w:t>a</w:t>
      </w:r>
      <w:r w:rsidRPr="00D339F4">
        <w:t xml:space="preserve"> (</w:t>
      </w:r>
      <w:r w:rsidRPr="00D339F4">
        <w:rPr>
          <w:i/>
          <w:iCs/>
        </w:rPr>
        <w:t>I</w:t>
      </w:r>
      <w:r w:rsidRPr="00D339F4">
        <w:rPr>
          <w:i/>
          <w:iCs/>
          <w:vertAlign w:val="subscript"/>
        </w:rPr>
        <w:t>ai</w:t>
      </w:r>
      <w:r w:rsidRPr="00D339F4">
        <w:t xml:space="preserve">). During a rainfall event, the HRU with the smallest of the </w:t>
      </w:r>
      <w:r w:rsidRPr="00D339F4">
        <w:rPr>
          <w:i/>
          <w:iCs/>
        </w:rPr>
        <w:t>I</w:t>
      </w:r>
      <w:r w:rsidRPr="00D339F4">
        <w:rPr>
          <w:i/>
          <w:iCs/>
          <w:vertAlign w:val="subscript"/>
        </w:rPr>
        <w:t>ai</w:t>
      </w:r>
      <w:r w:rsidRPr="00D339F4">
        <w:t xml:space="preserve"> </w:t>
      </w:r>
      <w:r w:rsidR="008E3ADE">
        <w:t xml:space="preserve">values </w:t>
      </w:r>
      <w:r w:rsidRPr="00D339F4">
        <w:t xml:space="preserve">will be the first to generate runoff. Assuming that this runoff reaches the watershed outlet, by definition, </w:t>
      </w:r>
      <w:r w:rsidRPr="00D339F4">
        <w:rPr>
          <w:i/>
          <w:iCs/>
        </w:rPr>
        <w:t>I</w:t>
      </w:r>
      <w:r w:rsidRPr="00D339F4">
        <w:rPr>
          <w:i/>
          <w:iCs/>
          <w:vertAlign w:val="subscript"/>
        </w:rPr>
        <w:t>a</w:t>
      </w:r>
      <w:r w:rsidRPr="00D339F4">
        <w:t xml:space="preserve"> of the watershed should be equal to the smallest of the </w:t>
      </w:r>
      <w:r w:rsidRPr="00D339F4">
        <w:rPr>
          <w:i/>
          <w:iCs/>
        </w:rPr>
        <w:t>I</w:t>
      </w:r>
      <w:r w:rsidRPr="00D339F4">
        <w:rPr>
          <w:i/>
          <w:iCs/>
          <w:vertAlign w:val="subscript"/>
        </w:rPr>
        <w:t>ai</w:t>
      </w:r>
      <w:r w:rsidR="008E3ADE">
        <w:t xml:space="preserve"> values</w:t>
      </w:r>
      <w:r w:rsidRPr="00D339F4">
        <w:t>. This could even be zero if the watershed has surfaces such as open water bodies that cannot abstract the rainfall.</w:t>
      </w:r>
    </w:p>
    <w:p w:rsidR="00C56FDC" w:rsidRPr="00D339F4" w:rsidRDefault="00D339F4" w:rsidP="00C56FDC">
      <w:pPr>
        <w:pStyle w:val="NormalNew"/>
      </w:pPr>
      <w:r w:rsidRPr="00D339F4">
        <w:t xml:space="preserve">However, it is difficult to detect the exact moment of generation of runoff and determine the corresponding value of </w:t>
      </w:r>
      <w:r w:rsidRPr="00D339F4">
        <w:rPr>
          <w:i/>
          <w:iCs/>
        </w:rPr>
        <w:t>I</w:t>
      </w:r>
      <w:r w:rsidRPr="00D339F4">
        <w:rPr>
          <w:i/>
          <w:iCs/>
          <w:vertAlign w:val="subscript"/>
        </w:rPr>
        <w:t>a</w:t>
      </w:r>
      <w:r w:rsidRPr="00D339F4">
        <w:t xml:space="preserve">, which is equal to the cumulative precipitation at that moment. There have been studies (Shi et al., 2009; Woodward et al., 2003) that tried to determine </w:t>
      </w:r>
      <w:r w:rsidRPr="00D339F4">
        <w:rPr>
          <w:i/>
          <w:iCs/>
        </w:rPr>
        <w:t>I</w:t>
      </w:r>
      <w:r w:rsidRPr="00D339F4">
        <w:rPr>
          <w:i/>
          <w:iCs/>
          <w:vertAlign w:val="subscript"/>
        </w:rPr>
        <w:t>a</w:t>
      </w:r>
      <w:r w:rsidRPr="00D339F4">
        <w:t xml:space="preserve"> from hydrographs. A problem with this approach is that there can be a time lag between runoff generation in headwaters and its detection at gauging station. Rainfall that occurs during this time lag is also included in </w:t>
      </w:r>
      <w:r w:rsidRPr="00D339F4">
        <w:rPr>
          <w:i/>
          <w:iCs/>
        </w:rPr>
        <w:t>I</w:t>
      </w:r>
      <w:r w:rsidRPr="00D339F4">
        <w:rPr>
          <w:i/>
          <w:iCs/>
          <w:vertAlign w:val="subscript"/>
        </w:rPr>
        <w:t>a</w:t>
      </w:r>
      <w:r w:rsidRPr="00D339F4">
        <w:t>, leading to its overestimation. Another possible approach would be to collect observations from a large number of rainfall events and take</w:t>
      </w:r>
      <w:r w:rsidRPr="00D339F4">
        <w:rPr>
          <w:i/>
          <w:iCs/>
        </w:rPr>
        <w:t xml:space="preserve"> I</w:t>
      </w:r>
      <w:r w:rsidRPr="00D339F4">
        <w:rPr>
          <w:i/>
          <w:iCs/>
          <w:vertAlign w:val="subscript"/>
        </w:rPr>
        <w:t>a</w:t>
      </w:r>
      <w:r w:rsidRPr="00D339F4">
        <w:t xml:space="preserve"> to be equal to the smallest </w:t>
      </w:r>
      <w:r w:rsidRPr="00D339F4">
        <w:rPr>
          <w:i/>
        </w:rPr>
        <w:t>P</w:t>
      </w:r>
      <w:r w:rsidRPr="00D339F4">
        <w:t xml:space="preserve"> that produced runoff. This would eliminate the problem with the lag time, but</w:t>
      </w:r>
      <w:r w:rsidRPr="00D339F4">
        <w:rPr>
          <w:i/>
          <w:iCs/>
        </w:rPr>
        <w:t xml:space="preserve"> Q</w:t>
      </w:r>
      <w:r w:rsidRPr="00D339F4">
        <w:t xml:space="preserve"> needs to be insignificant to reduce the error</w:t>
      </w:r>
      <w:r w:rsidRPr="00D339F4">
        <w:rPr>
          <w:i/>
          <w:iCs/>
        </w:rPr>
        <w:t xml:space="preserve"> </w:t>
      </w:r>
      <w:r w:rsidRPr="00D339F4">
        <w:rPr>
          <w:iCs/>
        </w:rPr>
        <w:t xml:space="preserve">in </w:t>
      </w:r>
      <w:r w:rsidRPr="00D339F4">
        <w:rPr>
          <w:i/>
          <w:iCs/>
        </w:rPr>
        <w:t>I</w:t>
      </w:r>
      <w:r w:rsidRPr="00D339F4">
        <w:rPr>
          <w:i/>
          <w:iCs/>
          <w:vertAlign w:val="subscript"/>
        </w:rPr>
        <w:t>a</w:t>
      </w:r>
      <w:r w:rsidRPr="00D339F4">
        <w:t xml:space="preserve">. It should also be noted that </w:t>
      </w:r>
      <w:r w:rsidRPr="00D339F4">
        <w:rPr>
          <w:i/>
          <w:iCs/>
        </w:rPr>
        <w:t>I</w:t>
      </w:r>
      <w:r w:rsidRPr="00D339F4">
        <w:rPr>
          <w:i/>
          <w:iCs/>
          <w:vertAlign w:val="subscript"/>
        </w:rPr>
        <w:t>a</w:t>
      </w:r>
      <w:r w:rsidRPr="00D339F4">
        <w:t xml:space="preserve"> determined this way is only representative of the antecedent conditions of the smallest event that produced runoff.</w:t>
      </w:r>
    </w:p>
    <w:p w:rsidR="00D339F4" w:rsidRPr="00D339F4" w:rsidRDefault="00D339F4" w:rsidP="00C56FDC">
      <w:pPr>
        <w:pStyle w:val="NormalNew"/>
      </w:pPr>
      <w:r w:rsidRPr="00D339F4">
        <w:t>It may be difficult to measure</w:t>
      </w:r>
      <w:r w:rsidRPr="00D339F4">
        <w:rPr>
          <w:i/>
          <w:iCs/>
        </w:rPr>
        <w:t xml:space="preserve"> I</w:t>
      </w:r>
      <w:r w:rsidRPr="00D339F4">
        <w:rPr>
          <w:i/>
          <w:iCs/>
          <w:vertAlign w:val="subscript"/>
        </w:rPr>
        <w:t>a</w:t>
      </w:r>
      <w:r w:rsidRPr="00D339F4">
        <w:t xml:space="preserve"> directly, but it can be calculated for any event using eqs. </w:t>
      </w:r>
      <w:r w:rsidR="00B615A2" w:rsidRPr="00B615A2">
        <w:t>(6)</w:t>
      </w:r>
      <w:r w:rsidRPr="00D339F4">
        <w:t xml:space="preserve"> and </w:t>
      </w:r>
      <w:r w:rsidR="00B615A2" w:rsidRPr="00B615A2">
        <w:rPr>
          <w:iCs/>
        </w:rPr>
        <w:t>(3)</w:t>
      </w:r>
      <w:r w:rsidRPr="00D339F4">
        <w:rPr>
          <w:iCs/>
        </w:rPr>
        <w:t xml:space="preserve">. However, in </w:t>
      </w:r>
      <w:r w:rsidRPr="00D339F4">
        <w:t>medium to large rainfall events, even the HRUs with larger</w:t>
      </w:r>
      <w:r w:rsidR="008E3ADE">
        <w:t xml:space="preserve"> values of</w:t>
      </w:r>
      <w:r w:rsidRPr="00D339F4">
        <w:rPr>
          <w:i/>
          <w:iCs/>
        </w:rPr>
        <w:t xml:space="preserve"> I</w:t>
      </w:r>
      <w:r w:rsidRPr="00D339F4">
        <w:rPr>
          <w:i/>
          <w:iCs/>
          <w:vertAlign w:val="subscript"/>
        </w:rPr>
        <w:t>ai</w:t>
      </w:r>
      <w:r w:rsidRPr="00D339F4">
        <w:t xml:space="preserve"> will contribute to </w:t>
      </w:r>
      <w:r w:rsidRPr="00D339F4">
        <w:rPr>
          <w:i/>
          <w:iCs/>
        </w:rPr>
        <w:t>Q</w:t>
      </w:r>
      <w:r w:rsidRPr="00D339F4">
        <w:t xml:space="preserve">. Therefore, the calculated value of </w:t>
      </w:r>
      <w:r w:rsidRPr="00D339F4">
        <w:rPr>
          <w:i/>
          <w:iCs/>
        </w:rPr>
        <w:t>I</w:t>
      </w:r>
      <w:r w:rsidRPr="00D339F4">
        <w:rPr>
          <w:i/>
          <w:iCs/>
          <w:vertAlign w:val="subscript"/>
        </w:rPr>
        <w:t>a</w:t>
      </w:r>
      <w:r w:rsidRPr="00D339F4">
        <w:t xml:space="preserve"> in these events </w:t>
      </w:r>
      <w:r w:rsidRPr="00D339F4">
        <w:rPr>
          <w:iCs/>
        </w:rPr>
        <w:t xml:space="preserve">will also be influenced by </w:t>
      </w:r>
      <w:r w:rsidR="00F023B8">
        <w:rPr>
          <w:iCs/>
        </w:rPr>
        <w:t xml:space="preserve">the </w:t>
      </w:r>
      <w:r w:rsidRPr="00D339F4">
        <w:t>larger</w:t>
      </w:r>
      <w:r w:rsidR="008E3ADE">
        <w:t xml:space="preserve"> values of</w:t>
      </w:r>
      <w:r w:rsidRPr="00D339F4">
        <w:rPr>
          <w:i/>
          <w:iCs/>
        </w:rPr>
        <w:t xml:space="preserve"> I</w:t>
      </w:r>
      <w:r w:rsidRPr="00D339F4">
        <w:rPr>
          <w:i/>
          <w:iCs/>
          <w:vertAlign w:val="subscript"/>
        </w:rPr>
        <w:t>ai</w:t>
      </w:r>
      <w:r w:rsidRPr="00D339F4">
        <w:rPr>
          <w:iCs/>
        </w:rPr>
        <w:t>.</w:t>
      </w:r>
      <w:r w:rsidRPr="00D339F4">
        <w:t xml:space="preserve"> </w:t>
      </w:r>
      <w:r w:rsidR="008E3ADE">
        <w:t>So, the calculated</w:t>
      </w:r>
      <w:r w:rsidRPr="00D339F4">
        <w:rPr>
          <w:i/>
          <w:iCs/>
        </w:rPr>
        <w:t xml:space="preserve"> I</w:t>
      </w:r>
      <w:r w:rsidRPr="00D339F4">
        <w:rPr>
          <w:i/>
          <w:iCs/>
          <w:vertAlign w:val="subscript"/>
        </w:rPr>
        <w:t>a</w:t>
      </w:r>
      <w:r w:rsidRPr="00D339F4">
        <w:t xml:space="preserve"> tends to be greater than the smallest of the </w:t>
      </w:r>
      <w:r w:rsidRPr="00D339F4">
        <w:rPr>
          <w:i/>
          <w:iCs/>
        </w:rPr>
        <w:t>I</w:t>
      </w:r>
      <w:r w:rsidRPr="00D339F4">
        <w:rPr>
          <w:i/>
          <w:iCs/>
          <w:vertAlign w:val="subscript"/>
        </w:rPr>
        <w:t>ai</w:t>
      </w:r>
      <w:r w:rsidR="008E3ADE">
        <w:t xml:space="preserve"> values</w:t>
      </w:r>
      <w:r w:rsidRPr="00D339F4">
        <w:t xml:space="preserve">. Moreover, it can be expected to increase with </w:t>
      </w:r>
      <w:r w:rsidRPr="00D339F4">
        <w:rPr>
          <w:i/>
        </w:rPr>
        <w:t>P</w:t>
      </w:r>
      <w:r w:rsidRPr="00D339F4">
        <w:t xml:space="preserve"> as increasingly larger rainfalls generate runoff from HRUs with increasingly larger</w:t>
      </w:r>
      <w:r w:rsidR="008E3ADE">
        <w:t xml:space="preserve"> values of</w:t>
      </w:r>
      <w:r w:rsidRPr="00D339F4">
        <w:t xml:space="preserve"> </w:t>
      </w:r>
      <w:r w:rsidRPr="00D339F4">
        <w:rPr>
          <w:i/>
          <w:iCs/>
        </w:rPr>
        <w:t>I</w:t>
      </w:r>
      <w:r w:rsidRPr="00D339F4">
        <w:rPr>
          <w:i/>
          <w:iCs/>
          <w:vertAlign w:val="subscript"/>
        </w:rPr>
        <w:t>ai</w:t>
      </w:r>
      <w:r w:rsidRPr="00D339F4">
        <w:t xml:space="preserve">.  Thus, there is an inconsistency between the definition of </w:t>
      </w:r>
      <w:r w:rsidRPr="00D339F4">
        <w:rPr>
          <w:i/>
          <w:iCs/>
        </w:rPr>
        <w:t>I</w:t>
      </w:r>
      <w:r w:rsidRPr="00D339F4">
        <w:rPr>
          <w:i/>
          <w:iCs/>
          <w:vertAlign w:val="subscript"/>
        </w:rPr>
        <w:t>a</w:t>
      </w:r>
      <w:r w:rsidRPr="00D339F4">
        <w:t xml:space="preserve"> and its calculated value at the watershed scale.</w:t>
      </w:r>
    </w:p>
    <w:p w:rsidR="00D339F4" w:rsidRPr="00D339F4" w:rsidRDefault="00D339F4" w:rsidP="00D339F4">
      <w:pPr>
        <w:pStyle w:val="Heading4"/>
      </w:pPr>
      <w:r w:rsidRPr="00D339F4">
        <w:t>2.1.1. Spatial-scale effect on λ</w:t>
      </w:r>
    </w:p>
    <w:p w:rsidR="00D339F4" w:rsidRPr="00D339F4" w:rsidRDefault="00D339F4" w:rsidP="00C56FDC">
      <w:pPr>
        <w:pStyle w:val="NormalNew"/>
      </w:pPr>
      <w:r w:rsidRPr="00D339F4">
        <w:t xml:space="preserve">Strictly adhering to the definition of </w:t>
      </w:r>
      <w:r w:rsidRPr="00D339F4">
        <w:rPr>
          <w:i/>
          <w:iCs/>
        </w:rPr>
        <w:t>I</w:t>
      </w:r>
      <w:r w:rsidRPr="00D339F4">
        <w:rPr>
          <w:i/>
          <w:iCs/>
          <w:vertAlign w:val="subscript"/>
        </w:rPr>
        <w:t>a</w:t>
      </w:r>
      <w:r w:rsidRPr="00D339F4">
        <w:t xml:space="preserve"> at the watershed scale may also cause a spatial-scale effect on </w:t>
      </w:r>
      <w:r w:rsidRPr="00D339F4">
        <w:rPr>
          <w:i/>
          <w:iCs/>
        </w:rPr>
        <w:t>λ</w:t>
      </w:r>
      <w:r w:rsidRPr="00D339F4">
        <w:t>. Let us refer to the CN of the watershed as CN</w:t>
      </w:r>
      <w:r w:rsidRPr="00D339F4">
        <w:rPr>
          <w:i/>
          <w:vertAlign w:val="subscript"/>
        </w:rPr>
        <w:t>W</w:t>
      </w:r>
      <w:r w:rsidRPr="00D339F4">
        <w:t xml:space="preserve">, and </w:t>
      </w:r>
      <w:r w:rsidRPr="00D339F4">
        <w:rPr>
          <w:i/>
          <w:iCs/>
        </w:rPr>
        <w:t>I</w:t>
      </w:r>
      <w:r w:rsidRPr="00D339F4">
        <w:rPr>
          <w:i/>
          <w:iCs/>
          <w:vertAlign w:val="subscript"/>
        </w:rPr>
        <w:t>a</w:t>
      </w:r>
      <w:r w:rsidRPr="00D339F4">
        <w:t xml:space="preserve"> as </w:t>
      </w:r>
      <w:r w:rsidRPr="00D339F4">
        <w:rPr>
          <w:i/>
          <w:iCs/>
        </w:rPr>
        <w:t>I</w:t>
      </w:r>
      <w:r w:rsidRPr="00D339F4">
        <w:rPr>
          <w:i/>
          <w:iCs/>
          <w:vertAlign w:val="subscript"/>
        </w:rPr>
        <w:t>aW</w:t>
      </w:r>
      <w:r w:rsidRPr="00D339F4">
        <w:t>. One of the common ways to determine CN</w:t>
      </w:r>
      <w:r w:rsidRPr="00D339F4">
        <w:rPr>
          <w:i/>
          <w:vertAlign w:val="subscript"/>
        </w:rPr>
        <w:t>W</w:t>
      </w:r>
      <w:r w:rsidRPr="00D339F4">
        <w:t xml:space="preserve"> is to calculate it as the area-weighted average of the CN</w:t>
      </w:r>
      <w:r w:rsidRPr="00D339F4">
        <w:rPr>
          <w:vertAlign w:val="subscript"/>
        </w:rPr>
        <w:t>i</w:t>
      </w:r>
      <w:r w:rsidR="008E3ADE">
        <w:t xml:space="preserve"> values</w:t>
      </w:r>
      <w:r w:rsidRPr="00D339F4">
        <w:t xml:space="preserve"> (NRCS, 2003) as</w:t>
      </w:r>
    </w:p>
    <w:p w:rsidR="00D339F4" w:rsidRPr="00D339F4" w:rsidRDefault="00D339F4" w:rsidP="003E7194">
      <w:pPr>
        <w:tabs>
          <w:tab w:val="center" w:pos="4962"/>
          <w:tab w:val="right" w:pos="10348"/>
        </w:tabs>
        <w:spacing w:line="480" w:lineRule="auto"/>
        <w:ind w:firstLine="720"/>
        <w:rPr>
          <w:rFonts w:eastAsia="Calibri"/>
          <w:szCs w:val="22"/>
        </w:rPr>
      </w:pPr>
      <w:r w:rsidRPr="00D339F4">
        <w:rPr>
          <w:rFonts w:eastAsia="Calibri"/>
          <w:szCs w:val="22"/>
        </w:rPr>
        <w:lastRenderedPageBreak/>
        <w:tab/>
      </w:r>
      <w:r w:rsidR="00CB311D">
        <w:rPr>
          <w:rFonts w:eastAsia="Calibri"/>
          <w:position w:val="-26"/>
          <w:szCs w:val="22"/>
        </w:rPr>
        <w:pict>
          <v:shape id="_x0000_i1032" type="#_x0000_t75" style="width:76.8pt;height:32.4pt">
            <v:imagedata r:id="rId17" o:title=""/>
          </v:shape>
        </w:pict>
      </w:r>
      <w:r w:rsidRPr="00D339F4">
        <w:rPr>
          <w:rFonts w:eastAsia="Calibri"/>
          <w:szCs w:val="22"/>
        </w:rPr>
        <w:t xml:space="preserve"> </w:t>
      </w:r>
      <w:r w:rsidRPr="00D339F4">
        <w:rPr>
          <w:rFonts w:eastAsia="Calibri"/>
          <w:szCs w:val="22"/>
        </w:rPr>
        <w:tab/>
      </w:r>
      <w:bookmarkStart w:id="28" w:name="ZEqnNum344195"/>
      <w:r w:rsidRPr="003E7194">
        <w:rPr>
          <w:rFonts w:eastAsia="Calibri"/>
          <w:sz w:val="20"/>
          <w:szCs w:val="20"/>
        </w:rPr>
        <w:t>(</w:t>
      </w:r>
      <w:r w:rsidR="00B615A2">
        <w:rPr>
          <w:rFonts w:eastAsia="Calibri"/>
          <w:noProof/>
          <w:sz w:val="20"/>
          <w:szCs w:val="20"/>
        </w:rPr>
        <w:t>8</w:t>
      </w:r>
      <w:r w:rsidRPr="003E7194">
        <w:rPr>
          <w:rFonts w:eastAsia="Calibri"/>
          <w:sz w:val="20"/>
          <w:szCs w:val="20"/>
        </w:rPr>
        <w:t>)</w:t>
      </w:r>
      <w:bookmarkEnd w:id="28"/>
    </w:p>
    <w:p w:rsidR="00D339F4" w:rsidRPr="00D339F4" w:rsidRDefault="00D339F4" w:rsidP="00C56FDC">
      <w:pPr>
        <w:pStyle w:val="NormalNew"/>
      </w:pPr>
      <w:r w:rsidRPr="00D339F4">
        <w:t xml:space="preserve">where </w:t>
      </w:r>
      <w:r w:rsidRPr="00D339F4">
        <w:rPr>
          <w:i/>
          <w:iCs/>
        </w:rPr>
        <w:t>a</w:t>
      </w:r>
      <w:r w:rsidRPr="00D339F4">
        <w:rPr>
          <w:i/>
          <w:iCs/>
          <w:vertAlign w:val="subscript"/>
        </w:rPr>
        <w:t>i</w:t>
      </w:r>
      <w:r w:rsidRPr="00D339F4">
        <w:t xml:space="preserve"> is the fractional area of the </w:t>
      </w:r>
      <w:r w:rsidRPr="00D339F4">
        <w:rPr>
          <w:i/>
          <w:iCs/>
        </w:rPr>
        <w:t>i</w:t>
      </w:r>
      <w:r w:rsidRPr="00D339F4">
        <w:rPr>
          <w:i/>
          <w:iCs/>
          <w:vertAlign w:val="superscript"/>
        </w:rPr>
        <w:t>th</w:t>
      </w:r>
      <w:r w:rsidRPr="00D339F4">
        <w:t xml:space="preserve"> HRU. Note that the fractional areas must add up to unity. By definition, </w:t>
      </w:r>
      <w:r w:rsidRPr="00D339F4">
        <w:rPr>
          <w:i/>
          <w:iCs/>
        </w:rPr>
        <w:t>I</w:t>
      </w:r>
      <w:r w:rsidRPr="00D339F4">
        <w:rPr>
          <w:i/>
          <w:iCs/>
          <w:vertAlign w:val="subscript"/>
        </w:rPr>
        <w:t>aW</w:t>
      </w:r>
      <w:r w:rsidRPr="00D339F4">
        <w:t xml:space="preserve"> is equal to the </w:t>
      </w:r>
      <w:r w:rsidR="008E3ADE">
        <w:t>smallest</w:t>
      </w:r>
      <w:r w:rsidR="008E3ADE" w:rsidRPr="00D339F4">
        <w:t xml:space="preserve"> </w:t>
      </w:r>
      <w:r w:rsidRPr="00D339F4">
        <w:t xml:space="preserve">of the </w:t>
      </w:r>
      <w:r w:rsidRPr="00D339F4">
        <w:rPr>
          <w:i/>
          <w:iCs/>
        </w:rPr>
        <w:t>I</w:t>
      </w:r>
      <w:r w:rsidRPr="00D339F4">
        <w:rPr>
          <w:i/>
          <w:iCs/>
          <w:vertAlign w:val="subscript"/>
        </w:rPr>
        <w:t>ai</w:t>
      </w:r>
      <w:r w:rsidR="008E3ADE">
        <w:t xml:space="preserve"> values</w:t>
      </w:r>
      <w:r w:rsidRPr="00D339F4">
        <w:t xml:space="preserve">. Therefore, if </w:t>
      </w:r>
      <w:r w:rsidR="00CB311D">
        <w:rPr>
          <w:position w:val="-12"/>
        </w:rPr>
        <w:pict>
          <v:shape id="_x0000_i1033" type="#_x0000_t75" style="width:90pt;height:18pt">
            <v:imagedata r:id="rId18" o:title=""/>
          </v:shape>
        </w:pict>
      </w:r>
      <w:r w:rsidRPr="00D339F4">
        <w:t xml:space="preserve"> then</w:t>
      </w:r>
    </w:p>
    <w:p w:rsidR="00D339F4" w:rsidRPr="00D339F4" w:rsidRDefault="00D339F4" w:rsidP="003E7194">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12"/>
          <w:szCs w:val="22"/>
        </w:rPr>
        <w:pict>
          <v:shape id="_x0000_i1034" type="#_x0000_t75" style="width:39pt;height:18.6pt">
            <v:imagedata r:id="rId19" o:title=""/>
          </v:shape>
        </w:pict>
      </w:r>
      <w:r w:rsidRPr="00D339F4">
        <w:rPr>
          <w:rFonts w:eastAsia="Calibri"/>
          <w:szCs w:val="22"/>
        </w:rPr>
        <w:t xml:space="preserve"> </w:t>
      </w:r>
      <w:r w:rsidRPr="00D339F4">
        <w:rPr>
          <w:rFonts w:eastAsia="Calibri"/>
          <w:szCs w:val="22"/>
        </w:rPr>
        <w:tab/>
      </w:r>
      <w:bookmarkStart w:id="29" w:name="ZEqnNum606191"/>
      <w:r w:rsidRPr="003E7194">
        <w:rPr>
          <w:rFonts w:eastAsia="Calibri"/>
          <w:sz w:val="20"/>
          <w:szCs w:val="20"/>
        </w:rPr>
        <w:t>(</w:t>
      </w:r>
      <w:r w:rsidR="00B615A2">
        <w:rPr>
          <w:rFonts w:eastAsia="Calibri"/>
          <w:noProof/>
          <w:sz w:val="20"/>
          <w:szCs w:val="20"/>
        </w:rPr>
        <w:t>9</w:t>
      </w:r>
      <w:r w:rsidRPr="003E7194">
        <w:rPr>
          <w:rFonts w:eastAsia="Calibri"/>
          <w:sz w:val="20"/>
          <w:szCs w:val="20"/>
        </w:rPr>
        <w:t>)</w:t>
      </w:r>
      <w:bookmarkEnd w:id="29"/>
    </w:p>
    <w:p w:rsidR="00C56FDC" w:rsidRPr="00D339F4" w:rsidRDefault="00D339F4" w:rsidP="00C56FDC">
      <w:pPr>
        <w:pStyle w:val="NormalNew"/>
      </w:pPr>
      <w:r w:rsidRPr="00D339F4">
        <w:t xml:space="preserve">From equations </w:t>
      </w:r>
      <w:r w:rsidR="00B615A2" w:rsidRPr="00B615A2">
        <w:rPr>
          <w:iCs/>
        </w:rPr>
        <w:t>(3)</w:t>
      </w:r>
      <w:r w:rsidRPr="00D339F4">
        <w:rPr>
          <w:iCs/>
        </w:rPr>
        <w:t xml:space="preserve"> and </w:t>
      </w:r>
      <w:r w:rsidR="00B615A2" w:rsidRPr="00B615A2">
        <w:t>(5)</w:t>
      </w:r>
      <w:r w:rsidRPr="00D339F4">
        <w:t xml:space="preserve"> it can be shown that CN and </w:t>
      </w:r>
      <w:r w:rsidRPr="00D339F4">
        <w:rPr>
          <w:i/>
          <w:iCs/>
        </w:rPr>
        <w:t>I</w:t>
      </w:r>
      <w:r w:rsidRPr="00D339F4">
        <w:rPr>
          <w:i/>
          <w:iCs/>
          <w:vertAlign w:val="subscript"/>
        </w:rPr>
        <w:t>a</w:t>
      </w:r>
      <w:r w:rsidRPr="00D339F4">
        <w:t xml:space="preserve"> are related as</w:t>
      </w:r>
    </w:p>
    <w:p w:rsidR="00D339F4" w:rsidRPr="00D339F4" w:rsidRDefault="00D339F4" w:rsidP="003E7194">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56"/>
          <w:szCs w:val="22"/>
        </w:rPr>
        <w:pict>
          <v:shape id="_x0000_i1035" type="#_x0000_t75" style="width:77.4pt;height:45.6pt">
            <v:imagedata r:id="rId20" o:title=""/>
          </v:shape>
        </w:pict>
      </w:r>
      <w:r w:rsidRPr="00D339F4">
        <w:rPr>
          <w:rFonts w:eastAsia="Calibri"/>
          <w:szCs w:val="22"/>
        </w:rPr>
        <w:t xml:space="preserve"> </w:t>
      </w:r>
      <w:r w:rsidRPr="00D339F4">
        <w:rPr>
          <w:rFonts w:eastAsia="Calibri"/>
          <w:szCs w:val="22"/>
        </w:rPr>
        <w:tab/>
      </w:r>
      <w:bookmarkStart w:id="30" w:name="ZEqnNum440253"/>
      <w:r w:rsidRPr="003E7194">
        <w:rPr>
          <w:rFonts w:eastAsia="Calibri"/>
          <w:sz w:val="20"/>
          <w:szCs w:val="20"/>
        </w:rPr>
        <w:t>(</w:t>
      </w:r>
      <w:r w:rsidR="00B615A2">
        <w:rPr>
          <w:rFonts w:eastAsia="Calibri"/>
          <w:noProof/>
          <w:sz w:val="20"/>
          <w:szCs w:val="20"/>
        </w:rPr>
        <w:t>10</w:t>
      </w:r>
      <w:r w:rsidRPr="003E7194">
        <w:rPr>
          <w:rFonts w:eastAsia="Calibri"/>
          <w:sz w:val="20"/>
          <w:szCs w:val="20"/>
        </w:rPr>
        <w:t>)</w:t>
      </w:r>
      <w:bookmarkEnd w:id="30"/>
    </w:p>
    <w:p w:rsidR="00C56FDC" w:rsidRPr="00D339F4" w:rsidRDefault="00D339F4" w:rsidP="00C56FDC">
      <w:pPr>
        <w:pStyle w:val="NormalNew"/>
      </w:pPr>
      <w:r w:rsidRPr="00D339F4">
        <w:t xml:space="preserve">If all the HRUs are assumed to have the same </w:t>
      </w:r>
      <w:r w:rsidRPr="00D339F4">
        <w:rPr>
          <w:i/>
        </w:rPr>
        <w:t>λ</w:t>
      </w:r>
      <w:r w:rsidRPr="00D339F4">
        <w:t xml:space="preserve"> = </w:t>
      </w:r>
      <w:r w:rsidRPr="00D339F4">
        <w:rPr>
          <w:i/>
        </w:rPr>
        <w:t>λ</w:t>
      </w:r>
      <w:r w:rsidRPr="00D339F4">
        <w:rPr>
          <w:i/>
          <w:vertAlign w:val="subscript"/>
        </w:rPr>
        <w:t>i</w:t>
      </w:r>
      <w:r w:rsidRPr="00D339F4">
        <w:t xml:space="preserve">, eqs. </w:t>
      </w:r>
      <w:r w:rsidR="00B615A2" w:rsidRPr="00B615A2">
        <w:t>(8)</w:t>
      </w:r>
      <w:r w:rsidRPr="00D339F4">
        <w:t xml:space="preserve">, </w:t>
      </w:r>
      <w:r w:rsidR="00B615A2" w:rsidRPr="00B615A2">
        <w:t>(9)</w:t>
      </w:r>
      <w:r w:rsidRPr="00D339F4">
        <w:t xml:space="preserve"> and </w:t>
      </w:r>
      <w:r w:rsidR="00B615A2" w:rsidRPr="00B615A2">
        <w:t>(10)</w:t>
      </w:r>
      <w:r w:rsidRPr="00D339F4">
        <w:t xml:space="preserve"> lead to</w:t>
      </w:r>
    </w:p>
    <w:p w:rsidR="00D339F4" w:rsidRPr="00D339F4" w:rsidRDefault="00D339F4" w:rsidP="003E7194">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84"/>
          <w:szCs w:val="22"/>
        </w:rPr>
        <w:pict>
          <v:shape id="_x0000_i1036" type="#_x0000_t75" style="width:99.6pt;height:90pt">
            <v:imagedata r:id="rId21" o:title=""/>
          </v:shape>
        </w:pict>
      </w:r>
      <w:r w:rsidRPr="00D339F4">
        <w:rPr>
          <w:rFonts w:eastAsia="Calibri"/>
          <w:szCs w:val="22"/>
        </w:rPr>
        <w:t xml:space="preserve"> </w:t>
      </w:r>
      <w:r w:rsidRPr="00D339F4">
        <w:rPr>
          <w:rFonts w:eastAsia="Calibri"/>
          <w:szCs w:val="22"/>
        </w:rPr>
        <w:tab/>
      </w:r>
      <w:bookmarkStart w:id="31" w:name="ZEqnNum450954"/>
      <w:r w:rsidRPr="003E7194">
        <w:rPr>
          <w:rFonts w:eastAsia="Calibri"/>
          <w:sz w:val="20"/>
          <w:szCs w:val="20"/>
        </w:rPr>
        <w:t>(</w:t>
      </w:r>
      <w:r w:rsidR="00B615A2">
        <w:rPr>
          <w:rFonts w:eastAsia="Calibri"/>
          <w:noProof/>
          <w:sz w:val="20"/>
          <w:szCs w:val="20"/>
        </w:rPr>
        <w:t>11</w:t>
      </w:r>
      <w:r w:rsidRPr="003E7194">
        <w:rPr>
          <w:rFonts w:eastAsia="Calibri"/>
          <w:sz w:val="20"/>
          <w:szCs w:val="20"/>
        </w:rPr>
        <w:t>)</w:t>
      </w:r>
      <w:bookmarkEnd w:id="31"/>
    </w:p>
    <w:p w:rsidR="00C56FDC" w:rsidRPr="00D339F4" w:rsidRDefault="00D339F4" w:rsidP="00C56FDC">
      <w:pPr>
        <w:pStyle w:val="NormalNew"/>
      </w:pPr>
      <w:r w:rsidRPr="00D339F4">
        <w:t xml:space="preserve">where </w:t>
      </w:r>
      <w:r w:rsidRPr="00D339F4">
        <w:rPr>
          <w:i/>
          <w:iCs/>
        </w:rPr>
        <w:t>λ</w:t>
      </w:r>
      <w:r w:rsidRPr="00D339F4">
        <w:rPr>
          <w:i/>
          <w:iCs/>
          <w:vertAlign w:val="subscript"/>
        </w:rPr>
        <w:t>W</w:t>
      </w:r>
      <w:r w:rsidRPr="00D339F4">
        <w:t xml:space="preserve"> is the effective initial abstraction ratio of the watershed. Therefore, if </w:t>
      </w:r>
      <w:r w:rsidRPr="00D339F4">
        <w:rPr>
          <w:i/>
          <w:iCs/>
        </w:rPr>
        <w:t>λ</w:t>
      </w:r>
      <w:r w:rsidRPr="00D339F4">
        <w:t xml:space="preserve"> is assumed to be the same among the component HRUs, it will have a smaller value at the watershed scale. This implies that </w:t>
      </w:r>
      <w:r w:rsidRPr="00D339F4">
        <w:rPr>
          <w:i/>
          <w:iCs/>
        </w:rPr>
        <w:t>λ</w:t>
      </w:r>
      <w:r w:rsidRPr="00D339F4">
        <w:t xml:space="preserve"> decreases with increasing spatial-scale. Therefore setting </w:t>
      </w:r>
      <w:r w:rsidRPr="00D339F4">
        <w:rPr>
          <w:i/>
          <w:iCs/>
        </w:rPr>
        <w:t>λ</w:t>
      </w:r>
      <w:r w:rsidRPr="00D339F4">
        <w:t xml:space="preserve"> constant, equal to 0.2 or 0.05, for all the spatial scales contradicts the definition of </w:t>
      </w:r>
      <w:r w:rsidRPr="00D339F4">
        <w:rPr>
          <w:i/>
          <w:iCs/>
        </w:rPr>
        <w:t>I</w:t>
      </w:r>
      <w:r w:rsidRPr="00D339F4">
        <w:rPr>
          <w:i/>
          <w:iCs/>
          <w:vertAlign w:val="subscript"/>
        </w:rPr>
        <w:t>a</w:t>
      </w:r>
      <w:r w:rsidRPr="00D339F4">
        <w:t>. In any case, it is probably more accurate to calculate runoff at the HRU scale (</w:t>
      </w:r>
      <w:r w:rsidRPr="00D339F4">
        <w:rPr>
          <w:i/>
          <w:iCs/>
        </w:rPr>
        <w:t>Q</w:t>
      </w:r>
      <w:r w:rsidRPr="00D339F4">
        <w:rPr>
          <w:i/>
          <w:iCs/>
          <w:vertAlign w:val="subscript"/>
        </w:rPr>
        <w:t>i</w:t>
      </w:r>
      <w:r w:rsidRPr="00D339F4">
        <w:t xml:space="preserve">) and take the area-weighted average of </w:t>
      </w:r>
      <w:r w:rsidRPr="00D339F4">
        <w:rPr>
          <w:i/>
          <w:iCs/>
        </w:rPr>
        <w:t>Q</w:t>
      </w:r>
      <w:r w:rsidRPr="00D339F4">
        <w:rPr>
          <w:i/>
          <w:iCs/>
          <w:vertAlign w:val="subscript"/>
        </w:rPr>
        <w:t>i</w:t>
      </w:r>
      <w:r w:rsidR="008E3ADE">
        <w:t xml:space="preserve"> values</w:t>
      </w:r>
      <w:r w:rsidRPr="00D339F4">
        <w:t>, rather than take the area-weighted average of the CN</w:t>
      </w:r>
      <w:r w:rsidRPr="00D339F4">
        <w:rPr>
          <w:i/>
          <w:vertAlign w:val="subscript"/>
        </w:rPr>
        <w:t>i</w:t>
      </w:r>
      <w:r w:rsidR="008E3ADE">
        <w:t xml:space="preserve"> values</w:t>
      </w:r>
      <w:r w:rsidRPr="00D339F4">
        <w:t xml:space="preserve"> and calculate </w:t>
      </w:r>
      <w:r w:rsidRPr="00D339F4">
        <w:rPr>
          <w:i/>
          <w:iCs/>
        </w:rPr>
        <w:t>Q</w:t>
      </w:r>
      <w:r w:rsidRPr="00D339F4">
        <w:t xml:space="preserve"> at the watershed scale. It is also more appropriate because </w:t>
      </w:r>
      <w:r w:rsidRPr="00D339F4">
        <w:rPr>
          <w:i/>
          <w:iCs/>
        </w:rPr>
        <w:t>Q</w:t>
      </w:r>
      <w:r w:rsidRPr="00D339F4">
        <w:t xml:space="preserve"> is runoff per unit area whereas CN is a dimensionless index variable.</w:t>
      </w:r>
    </w:p>
    <w:p w:rsidR="00D339F4" w:rsidRPr="00D339F4" w:rsidRDefault="00D339F4" w:rsidP="00C56FDC">
      <w:pPr>
        <w:pStyle w:val="NormalNew"/>
      </w:pPr>
      <w:r w:rsidRPr="00D339F4">
        <w:t>The inconsistencies in the usage of</w:t>
      </w:r>
      <w:r w:rsidRPr="00D339F4">
        <w:rPr>
          <w:i/>
          <w:iCs/>
        </w:rPr>
        <w:t xml:space="preserve"> I</w:t>
      </w:r>
      <w:r w:rsidRPr="00D339F4">
        <w:rPr>
          <w:i/>
          <w:iCs/>
          <w:vertAlign w:val="subscript"/>
        </w:rPr>
        <w:t>a</w:t>
      </w:r>
      <w:r w:rsidRPr="00D339F4">
        <w:t xml:space="preserve"> are a direct result of heterogeneity in a watershed. Moreover, heterogeneity also appears </w:t>
      </w:r>
      <w:r w:rsidR="00207050">
        <w:t xml:space="preserve">to </w:t>
      </w:r>
      <w:r w:rsidRPr="00D339F4">
        <w:t xml:space="preserve">be responsible for the variation of </w:t>
      </w:r>
      <w:r w:rsidRPr="00D339F4">
        <w:rPr>
          <w:i/>
          <w:iCs/>
        </w:rPr>
        <w:t>I</w:t>
      </w:r>
      <w:r w:rsidRPr="00D339F4">
        <w:rPr>
          <w:i/>
          <w:iCs/>
          <w:vertAlign w:val="subscript"/>
        </w:rPr>
        <w:t>aW</w:t>
      </w:r>
      <w:r w:rsidRPr="00D339F4">
        <w:t xml:space="preserve"> with </w:t>
      </w:r>
      <w:r w:rsidRPr="00D339F4">
        <w:rPr>
          <w:i/>
        </w:rPr>
        <w:t>P</w:t>
      </w:r>
      <w:r w:rsidRPr="00D339F4">
        <w:t xml:space="preserve"> [</w:t>
      </w:r>
      <w:r w:rsidR="00B615A2" w:rsidRPr="00B615A2">
        <w:t>Figure 2</w:t>
      </w:r>
      <w:r w:rsidRPr="00D339F4">
        <w:t xml:space="preserve">(c) and 2(d)]. To verify this, a relationship between </w:t>
      </w:r>
      <w:r w:rsidRPr="00D339F4">
        <w:rPr>
          <w:i/>
          <w:iCs/>
        </w:rPr>
        <w:t>I</w:t>
      </w:r>
      <w:r w:rsidRPr="00D339F4">
        <w:rPr>
          <w:i/>
          <w:iCs/>
          <w:vertAlign w:val="subscript"/>
        </w:rPr>
        <w:t>aW</w:t>
      </w:r>
      <w:r w:rsidRPr="00D339F4">
        <w:t xml:space="preserve"> and the magnitude and areal distribution of</w:t>
      </w:r>
      <w:r w:rsidRPr="00D339F4">
        <w:rPr>
          <w:i/>
          <w:iCs/>
        </w:rPr>
        <w:t xml:space="preserve"> I</w:t>
      </w:r>
      <w:r w:rsidRPr="00D339F4">
        <w:rPr>
          <w:i/>
          <w:iCs/>
          <w:vertAlign w:val="subscript"/>
        </w:rPr>
        <w:t>ai</w:t>
      </w:r>
      <w:r w:rsidRPr="00D339F4">
        <w:t xml:space="preserve"> </w:t>
      </w:r>
      <w:r w:rsidR="008E3ADE">
        <w:t xml:space="preserve">values </w:t>
      </w:r>
      <w:r w:rsidRPr="00D339F4">
        <w:t>needs to be developed.</w:t>
      </w:r>
    </w:p>
    <w:p w:rsidR="00D339F4" w:rsidRPr="00D339F4" w:rsidRDefault="00D339F4" w:rsidP="00D339F4">
      <w:pPr>
        <w:pStyle w:val="Heading3"/>
        <w:rPr>
          <w:i/>
          <w:iCs/>
        </w:rPr>
      </w:pPr>
      <w:bookmarkStart w:id="32" w:name="_Toc479817859"/>
      <w:bookmarkStart w:id="33" w:name="_Toc481658235"/>
      <w:r w:rsidRPr="00D339F4">
        <w:t xml:space="preserve">2.2. </w:t>
      </w:r>
      <w:r w:rsidRPr="00D339F4">
        <w:rPr>
          <w:i/>
          <w:iCs/>
        </w:rPr>
        <w:t>I</w:t>
      </w:r>
      <w:r w:rsidRPr="00D339F4">
        <w:rPr>
          <w:i/>
          <w:iCs/>
          <w:vertAlign w:val="subscript"/>
        </w:rPr>
        <w:t>a</w:t>
      </w:r>
      <w:r w:rsidRPr="00D339F4">
        <w:t xml:space="preserve"> in a Heterogeneous Watershed</w:t>
      </w:r>
      <w:bookmarkEnd w:id="32"/>
      <w:bookmarkEnd w:id="33"/>
    </w:p>
    <w:p w:rsidR="00C10866" w:rsidRPr="00D339F4" w:rsidRDefault="00D339F4" w:rsidP="00C10866">
      <w:pPr>
        <w:pStyle w:val="NormalNew"/>
      </w:pPr>
      <w:r w:rsidRPr="00D339F4">
        <w:t>Consider a watershed with four HRUs mainly characterized by their</w:t>
      </w:r>
      <w:r w:rsidR="00EF21FC">
        <w:t xml:space="preserve"> land use types viz. open </w:t>
      </w:r>
      <w:r w:rsidR="00EF21FC" w:rsidRPr="00EF21FC">
        <w:t>water</w:t>
      </w:r>
      <w:r w:rsidRPr="00EF21FC">
        <w:t>body</w:t>
      </w:r>
      <w:r w:rsidRPr="00D339F4">
        <w:t xml:space="preserve"> (</w:t>
      </w:r>
      <w:r w:rsidRPr="00D339F4">
        <w:rPr>
          <w:i/>
          <w:iCs/>
        </w:rPr>
        <w:t>I</w:t>
      </w:r>
      <w:r w:rsidRPr="00D339F4">
        <w:rPr>
          <w:i/>
          <w:iCs/>
          <w:vertAlign w:val="subscript"/>
        </w:rPr>
        <w:t>a</w:t>
      </w:r>
      <w:r w:rsidRPr="00D339F4">
        <w:rPr>
          <w:iCs/>
          <w:vertAlign w:val="subscript"/>
        </w:rPr>
        <w:t>0</w:t>
      </w:r>
      <w:r w:rsidRPr="00D339F4">
        <w:t>), urban area (</w:t>
      </w:r>
      <w:r w:rsidRPr="00D339F4">
        <w:rPr>
          <w:i/>
          <w:iCs/>
        </w:rPr>
        <w:t>I</w:t>
      </w:r>
      <w:r w:rsidRPr="00D339F4">
        <w:rPr>
          <w:i/>
          <w:iCs/>
          <w:vertAlign w:val="subscript"/>
        </w:rPr>
        <w:t>a</w:t>
      </w:r>
      <w:r w:rsidRPr="00D339F4">
        <w:rPr>
          <w:iCs/>
          <w:vertAlign w:val="subscript"/>
        </w:rPr>
        <w:t>1</w:t>
      </w:r>
      <w:r w:rsidRPr="00D339F4">
        <w:t>), park (</w:t>
      </w:r>
      <w:r w:rsidRPr="00D339F4">
        <w:rPr>
          <w:i/>
          <w:iCs/>
        </w:rPr>
        <w:t>I</w:t>
      </w:r>
      <w:r w:rsidRPr="00D339F4">
        <w:rPr>
          <w:i/>
          <w:iCs/>
          <w:vertAlign w:val="subscript"/>
        </w:rPr>
        <w:t>a</w:t>
      </w:r>
      <w:r w:rsidRPr="00D339F4">
        <w:rPr>
          <w:iCs/>
          <w:vertAlign w:val="subscript"/>
        </w:rPr>
        <w:t>2</w:t>
      </w:r>
      <w:r w:rsidRPr="00D339F4">
        <w:t>), and forest (</w:t>
      </w:r>
      <w:r w:rsidRPr="00D339F4">
        <w:rPr>
          <w:i/>
          <w:iCs/>
        </w:rPr>
        <w:t>I</w:t>
      </w:r>
      <w:r w:rsidRPr="00D339F4">
        <w:rPr>
          <w:i/>
          <w:iCs/>
          <w:vertAlign w:val="subscript"/>
        </w:rPr>
        <w:t>a</w:t>
      </w:r>
      <w:r w:rsidRPr="00D339F4">
        <w:rPr>
          <w:iCs/>
          <w:vertAlign w:val="subscript"/>
        </w:rPr>
        <w:t>3</w:t>
      </w:r>
      <w:r w:rsidRPr="00D339F4">
        <w:t>) [</w:t>
      </w:r>
      <w:r w:rsidR="00B615A2" w:rsidRPr="00B615A2">
        <w:t>Figure 3</w:t>
      </w:r>
      <w:r w:rsidRPr="00D339F4">
        <w:t xml:space="preserve">(a)], such that </w:t>
      </w:r>
      <w:r w:rsidRPr="00D339F4">
        <w:rPr>
          <w:i/>
          <w:iCs/>
        </w:rPr>
        <w:t>I</w:t>
      </w:r>
      <w:r w:rsidRPr="00D339F4">
        <w:rPr>
          <w:i/>
          <w:iCs/>
          <w:vertAlign w:val="subscript"/>
        </w:rPr>
        <w:t>a</w:t>
      </w:r>
      <w:r w:rsidRPr="00D339F4">
        <w:rPr>
          <w:iCs/>
          <w:vertAlign w:val="subscript"/>
        </w:rPr>
        <w:t>0</w:t>
      </w:r>
      <w:r w:rsidRPr="00D339F4">
        <w:t xml:space="preserve"> = 0 &lt; </w:t>
      </w:r>
      <w:r w:rsidRPr="00D339F4">
        <w:rPr>
          <w:i/>
          <w:iCs/>
        </w:rPr>
        <w:t>I</w:t>
      </w:r>
      <w:r w:rsidRPr="00D339F4">
        <w:rPr>
          <w:i/>
          <w:iCs/>
          <w:vertAlign w:val="subscript"/>
        </w:rPr>
        <w:t>a</w:t>
      </w:r>
      <w:r w:rsidRPr="00D339F4">
        <w:rPr>
          <w:iCs/>
          <w:vertAlign w:val="subscript"/>
        </w:rPr>
        <w:t>1</w:t>
      </w:r>
      <w:r w:rsidRPr="00D339F4">
        <w:t xml:space="preserve"> &lt; </w:t>
      </w:r>
      <w:r w:rsidRPr="00D339F4">
        <w:rPr>
          <w:i/>
          <w:iCs/>
        </w:rPr>
        <w:t>I</w:t>
      </w:r>
      <w:r w:rsidRPr="00D339F4">
        <w:rPr>
          <w:i/>
          <w:iCs/>
          <w:vertAlign w:val="subscript"/>
        </w:rPr>
        <w:t>a</w:t>
      </w:r>
      <w:r w:rsidRPr="00D339F4">
        <w:rPr>
          <w:iCs/>
          <w:vertAlign w:val="subscript"/>
        </w:rPr>
        <w:t>2</w:t>
      </w:r>
      <w:r w:rsidRPr="00D339F4">
        <w:t xml:space="preserve"> &lt; </w:t>
      </w:r>
      <w:r w:rsidRPr="00D339F4">
        <w:rPr>
          <w:i/>
          <w:iCs/>
        </w:rPr>
        <w:t>I</w:t>
      </w:r>
      <w:r w:rsidRPr="00D339F4">
        <w:rPr>
          <w:i/>
          <w:iCs/>
          <w:vertAlign w:val="subscript"/>
        </w:rPr>
        <w:t>a</w:t>
      </w:r>
      <w:r w:rsidRPr="00D339F4">
        <w:rPr>
          <w:iCs/>
          <w:vertAlign w:val="subscript"/>
        </w:rPr>
        <w:t>3</w:t>
      </w:r>
      <w:r w:rsidR="00EF21FC">
        <w:t>. An open water</w:t>
      </w:r>
      <w:r w:rsidRPr="00D339F4">
        <w:t xml:space="preserve">body generates runoff during every </w:t>
      </w:r>
      <w:r w:rsidRPr="00D339F4">
        <w:lastRenderedPageBreak/>
        <w:t>rainfall event. Other land use types generate runoff depending on the magnitude of the rainfall, with land uses of larger</w:t>
      </w:r>
      <w:r w:rsidRPr="00D339F4">
        <w:rPr>
          <w:i/>
          <w:iCs/>
        </w:rPr>
        <w:t xml:space="preserve"> I</w:t>
      </w:r>
      <w:r w:rsidRPr="00D339F4">
        <w:rPr>
          <w:i/>
          <w:iCs/>
          <w:vertAlign w:val="subscript"/>
        </w:rPr>
        <w:t>ai</w:t>
      </w:r>
      <w:r w:rsidRPr="00D339F4">
        <w:t xml:space="preserve"> </w:t>
      </w:r>
      <w:r w:rsidR="008E3ADE">
        <w:t xml:space="preserve">values </w:t>
      </w:r>
      <w:r w:rsidRPr="00D339F4">
        <w:t xml:space="preserve">requiring larger magnitudes. </w:t>
      </w:r>
      <w:r w:rsidR="000C335F" w:rsidRPr="000C335F">
        <w:t>If each land use type is assumed to be directly connected to the drainage network,</w:t>
      </w:r>
      <w:r w:rsidR="000C335F">
        <w:t xml:space="preserve"> t</w:t>
      </w:r>
      <w:r w:rsidRPr="00D339F4">
        <w:t xml:space="preserve">he number of land use types contributing to the runoff, in other words the runoff contributing area, increases with rainfall. This process can be conceptualized by representing the storage distribution of </w:t>
      </w:r>
      <w:r w:rsidRPr="00D339F4">
        <w:rPr>
          <w:i/>
        </w:rPr>
        <w:t>I</w:t>
      </w:r>
      <w:r w:rsidRPr="00D339F4">
        <w:rPr>
          <w:i/>
          <w:vertAlign w:val="subscript"/>
        </w:rPr>
        <w:t>a</w:t>
      </w:r>
      <w:r w:rsidRPr="00D339F4">
        <w:t xml:space="preserve"> as a series of bins where each bin corresponds to a HRU [</w:t>
      </w:r>
      <w:r w:rsidR="00B615A2" w:rsidRPr="00B615A2">
        <w:t>Figure 3</w:t>
      </w:r>
      <w:r w:rsidRPr="00D339F4">
        <w:t xml:space="preserve">(b)]. The height and the width of a bin are given by </w:t>
      </w:r>
      <w:r w:rsidRPr="00D339F4">
        <w:rPr>
          <w:i/>
          <w:iCs/>
        </w:rPr>
        <w:t>I</w:t>
      </w:r>
      <w:r w:rsidRPr="00D339F4">
        <w:rPr>
          <w:i/>
          <w:iCs/>
          <w:vertAlign w:val="subscript"/>
        </w:rPr>
        <w:t>ai</w:t>
      </w:r>
      <w:r w:rsidRPr="00D339F4">
        <w:t xml:space="preserve"> and </w:t>
      </w:r>
      <w:r w:rsidRPr="00D339F4">
        <w:rPr>
          <w:i/>
          <w:iCs/>
        </w:rPr>
        <w:t>a</w:t>
      </w:r>
      <w:r w:rsidRPr="00D339F4">
        <w:rPr>
          <w:i/>
          <w:iCs/>
          <w:vertAlign w:val="subscript"/>
        </w:rPr>
        <w:t>i</w:t>
      </w:r>
      <w:r w:rsidR="00D5722B">
        <w:rPr>
          <w:iCs/>
        </w:rPr>
        <w:t>,</w:t>
      </w:r>
      <w:r w:rsidRPr="00D339F4">
        <w:t xml:space="preserve"> respectively, and all bins have unit thickness. In a rainfall event, only the bins with </w:t>
      </w:r>
      <w:r w:rsidRPr="00D339F4">
        <w:rPr>
          <w:i/>
          <w:iCs/>
        </w:rPr>
        <w:t>I</w:t>
      </w:r>
      <w:r w:rsidRPr="00D339F4">
        <w:rPr>
          <w:i/>
          <w:iCs/>
          <w:vertAlign w:val="subscript"/>
        </w:rPr>
        <w:t>ai</w:t>
      </w:r>
      <w:r w:rsidRPr="00D339F4">
        <w:t xml:space="preserve"> ≤ </w:t>
      </w:r>
      <w:r w:rsidRPr="00D339F4">
        <w:rPr>
          <w:i/>
          <w:iCs/>
        </w:rPr>
        <w:t>P</w:t>
      </w:r>
      <w:r w:rsidRPr="00D339F4">
        <w:t xml:space="preserve"> are fully filled and contribute to runoff, whereas the others are partially filled and do not contribute to runoff. The total amount of filled storage in</w:t>
      </w:r>
      <w:r w:rsidRPr="00D339F4">
        <w:rPr>
          <w:i/>
          <w:iCs/>
        </w:rPr>
        <w:t xml:space="preserve"> I</w:t>
      </w:r>
      <w:r w:rsidRPr="00D339F4">
        <w:rPr>
          <w:i/>
          <w:iCs/>
          <w:vertAlign w:val="subscript"/>
        </w:rPr>
        <w:t>a</w:t>
      </w:r>
      <w:r w:rsidRPr="00D339F4">
        <w:t xml:space="preserve"> </w:t>
      </w:r>
      <w:r w:rsidR="00D5722B" w:rsidRPr="00D339F4">
        <w:t>[</w:t>
      </w:r>
      <w:r w:rsidR="00D5722B">
        <w:t xml:space="preserve">shaded area in </w:t>
      </w:r>
      <w:r w:rsidR="00D5722B" w:rsidRPr="00B615A2">
        <w:t>Figure 3</w:t>
      </w:r>
      <w:r w:rsidR="00D5722B" w:rsidRPr="00D339F4">
        <w:t>(b)]</w:t>
      </w:r>
      <w:r w:rsidR="00D5722B">
        <w:t xml:space="preserve"> </w:t>
      </w:r>
      <w:r w:rsidRPr="00D339F4">
        <w:t xml:space="preserve">increases with </w:t>
      </w:r>
      <w:r w:rsidRPr="00D339F4">
        <w:rPr>
          <w:i/>
          <w:iCs/>
        </w:rPr>
        <w:t>P</w:t>
      </w:r>
      <w:r w:rsidRPr="00D339F4">
        <w:t xml:space="preserve"> until it reaches a constant value when all </w:t>
      </w:r>
      <w:r w:rsidR="008E3ADE">
        <w:t>the bins</w:t>
      </w:r>
      <w:r w:rsidRPr="00D339F4">
        <w:t xml:space="preserve"> are fully filled and the whole watershed is contributing to the runoff.</w:t>
      </w:r>
    </w:p>
    <w:p w:rsidR="00D339F4" w:rsidRPr="00D339F4" w:rsidRDefault="00D339F4" w:rsidP="00D339F4">
      <w:pPr>
        <w:spacing w:line="480" w:lineRule="auto"/>
        <w:jc w:val="center"/>
        <w:rPr>
          <w:rFonts w:eastAsia="Calibri"/>
          <w:szCs w:val="22"/>
        </w:rPr>
      </w:pPr>
      <w:r w:rsidRPr="00D339F4">
        <w:rPr>
          <w:rFonts w:eastAsia="Calibri"/>
          <w:noProof/>
          <w:szCs w:val="22"/>
        </w:rPr>
        <w:drawing>
          <wp:inline distT="0" distB="0" distL="0" distR="0" wp14:anchorId="0FB7CF59" wp14:editId="199A4ABF">
            <wp:extent cx="4114800" cy="4557240"/>
            <wp:effectExtent l="0" t="0" r="0" b="0"/>
            <wp:docPr id="23" name="Picture 2" descr="Suburban Containers vertical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urban Containers vertical 3.PNG"/>
                    <pic:cNvPicPr/>
                  </pic:nvPicPr>
                  <pic:blipFill>
                    <a:blip r:embed="rId22" cstate="print"/>
                    <a:stretch>
                      <a:fillRect/>
                    </a:stretch>
                  </pic:blipFill>
                  <pic:spPr>
                    <a:xfrm>
                      <a:off x="0" y="0"/>
                      <a:ext cx="4114800" cy="4557240"/>
                    </a:xfrm>
                    <a:prstGeom prst="rect">
                      <a:avLst/>
                    </a:prstGeom>
                  </pic:spPr>
                </pic:pic>
              </a:graphicData>
            </a:graphic>
          </wp:inline>
        </w:drawing>
      </w:r>
    </w:p>
    <w:p w:rsidR="00D339F4" w:rsidRPr="004F00CE" w:rsidRDefault="00D339F4" w:rsidP="00DF477B">
      <w:pPr>
        <w:spacing w:after="480"/>
        <w:rPr>
          <w:rFonts w:ascii="Arial" w:eastAsia="Calibri" w:hAnsi="Arial" w:cs="Arial"/>
          <w:sz w:val="18"/>
          <w:szCs w:val="18"/>
        </w:rPr>
      </w:pPr>
      <w:bookmarkStart w:id="34" w:name="_Ref421737080"/>
      <w:bookmarkStart w:id="35" w:name="_Toc481390023"/>
      <w:r w:rsidRPr="004F00CE">
        <w:rPr>
          <w:rFonts w:ascii="Arial" w:eastAsia="Calibri" w:hAnsi="Arial" w:cs="Arial"/>
          <w:b/>
          <w:bCs/>
          <w:sz w:val="18"/>
          <w:szCs w:val="18"/>
        </w:rPr>
        <w:t xml:space="preserve">Figure </w:t>
      </w:r>
      <w:r w:rsidR="00B615A2">
        <w:rPr>
          <w:rFonts w:ascii="Arial" w:eastAsia="Calibri" w:hAnsi="Arial" w:cs="Arial"/>
          <w:b/>
          <w:bCs/>
          <w:noProof/>
          <w:sz w:val="18"/>
          <w:szCs w:val="18"/>
        </w:rPr>
        <w:t>3</w:t>
      </w:r>
      <w:bookmarkEnd w:id="34"/>
      <w:r w:rsidRPr="004F00CE">
        <w:rPr>
          <w:rFonts w:ascii="Arial" w:eastAsia="Calibri" w:hAnsi="Arial" w:cs="Arial"/>
          <w:b/>
          <w:bCs/>
          <w:sz w:val="18"/>
          <w:szCs w:val="18"/>
        </w:rPr>
        <w:t>.</w:t>
      </w:r>
      <w:r w:rsidRPr="004F00CE">
        <w:rPr>
          <w:rFonts w:ascii="Arial" w:eastAsia="Calibri" w:hAnsi="Arial" w:cs="Arial"/>
          <w:sz w:val="18"/>
          <w:szCs w:val="18"/>
        </w:rPr>
        <w:t xml:space="preserve"> Spatial distribution of</w:t>
      </w:r>
      <w:r w:rsidRPr="004F00CE">
        <w:rPr>
          <w:rFonts w:ascii="Arial" w:eastAsia="Calibri" w:hAnsi="Arial" w:cs="Arial"/>
          <w:i/>
          <w:iCs/>
          <w:sz w:val="18"/>
          <w:szCs w:val="18"/>
        </w:rPr>
        <w:t xml:space="preserve"> I</w:t>
      </w:r>
      <w:r w:rsidRPr="004F00CE">
        <w:rPr>
          <w:rFonts w:ascii="Arial" w:eastAsia="Calibri" w:hAnsi="Arial" w:cs="Arial"/>
          <w:i/>
          <w:iCs/>
          <w:sz w:val="18"/>
          <w:szCs w:val="18"/>
          <w:vertAlign w:val="subscript"/>
        </w:rPr>
        <w:t>a</w:t>
      </w:r>
      <w:r w:rsidRPr="004F00CE">
        <w:rPr>
          <w:rFonts w:ascii="Arial" w:eastAsia="Calibri" w:hAnsi="Arial" w:cs="Arial"/>
          <w:i/>
          <w:sz w:val="18"/>
          <w:szCs w:val="18"/>
        </w:rPr>
        <w:t xml:space="preserve"> </w:t>
      </w:r>
      <w:r w:rsidRPr="004F00CE">
        <w:rPr>
          <w:rFonts w:ascii="Arial" w:eastAsia="Calibri" w:hAnsi="Arial" w:cs="Arial"/>
          <w:sz w:val="18"/>
          <w:szCs w:val="18"/>
        </w:rPr>
        <w:t xml:space="preserve">in a heterogeneous watershed (a)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w:t>
      </w:r>
      <w:r w:rsidRPr="004F00CE">
        <w:rPr>
          <w:rFonts w:ascii="Arial" w:eastAsia="Calibri" w:hAnsi="Arial" w:cs="Arial"/>
          <w:i/>
          <w:sz w:val="18"/>
          <w:szCs w:val="18"/>
          <w:vertAlign w:val="subscript"/>
        </w:rPr>
        <w:t>i</w:t>
      </w:r>
      <w:r w:rsidR="00594BCB">
        <w:rPr>
          <w:rFonts w:ascii="Arial" w:eastAsia="Calibri" w:hAnsi="Arial" w:cs="Arial"/>
          <w:sz w:val="18"/>
          <w:szCs w:val="18"/>
        </w:rPr>
        <w:t xml:space="preserve"> values</w:t>
      </w:r>
      <w:r w:rsidRPr="004F00CE">
        <w:rPr>
          <w:rFonts w:ascii="Arial" w:eastAsia="Calibri" w:hAnsi="Arial" w:cs="Arial"/>
          <w:sz w:val="18"/>
          <w:szCs w:val="18"/>
        </w:rPr>
        <w:t xml:space="preserve"> of various HRUs mainly characterized by their land use types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w:t>
      </w:r>
      <w:r w:rsidRPr="004F00CE">
        <w:rPr>
          <w:rFonts w:ascii="Arial" w:eastAsia="Calibri" w:hAnsi="Arial" w:cs="Arial"/>
          <w:sz w:val="18"/>
          <w:szCs w:val="18"/>
          <w:vertAlign w:val="subscript"/>
        </w:rPr>
        <w:t>0</w:t>
      </w:r>
      <w:r w:rsidRPr="004F00CE">
        <w:rPr>
          <w:rFonts w:ascii="Arial" w:eastAsia="Calibri" w:hAnsi="Arial" w:cs="Arial"/>
          <w:sz w:val="18"/>
          <w:szCs w:val="18"/>
        </w:rPr>
        <w:t xml:space="preserve"> = 0 &lt;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w:t>
      </w:r>
      <w:r w:rsidRPr="004F00CE">
        <w:rPr>
          <w:rFonts w:ascii="Arial" w:eastAsia="Calibri" w:hAnsi="Arial" w:cs="Arial"/>
          <w:sz w:val="18"/>
          <w:szCs w:val="18"/>
          <w:vertAlign w:val="subscript"/>
        </w:rPr>
        <w:t>1</w:t>
      </w:r>
      <w:r w:rsidRPr="004F00CE">
        <w:rPr>
          <w:rFonts w:ascii="Arial" w:eastAsia="Calibri" w:hAnsi="Arial" w:cs="Arial"/>
          <w:sz w:val="18"/>
          <w:szCs w:val="18"/>
        </w:rPr>
        <w:t xml:space="preserve"> &lt;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w:t>
      </w:r>
      <w:r w:rsidRPr="004F00CE">
        <w:rPr>
          <w:rFonts w:ascii="Arial" w:eastAsia="Calibri" w:hAnsi="Arial" w:cs="Arial"/>
          <w:sz w:val="18"/>
          <w:szCs w:val="18"/>
          <w:vertAlign w:val="subscript"/>
        </w:rPr>
        <w:t>2</w:t>
      </w:r>
      <w:r w:rsidRPr="004F00CE">
        <w:rPr>
          <w:rFonts w:ascii="Arial" w:eastAsia="Calibri" w:hAnsi="Arial" w:cs="Arial"/>
          <w:sz w:val="18"/>
          <w:szCs w:val="18"/>
        </w:rPr>
        <w:t xml:space="preserve"> &lt;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w:t>
      </w:r>
      <w:r w:rsidRPr="004F00CE">
        <w:rPr>
          <w:rFonts w:ascii="Arial" w:eastAsia="Calibri" w:hAnsi="Arial" w:cs="Arial"/>
          <w:sz w:val="18"/>
          <w:szCs w:val="18"/>
          <w:vertAlign w:val="subscript"/>
        </w:rPr>
        <w:t>3</w:t>
      </w:r>
      <w:r w:rsidRPr="004F00CE">
        <w:rPr>
          <w:rFonts w:ascii="Arial" w:eastAsia="Calibri" w:hAnsi="Arial" w:cs="Arial"/>
          <w:sz w:val="18"/>
          <w:szCs w:val="18"/>
        </w:rPr>
        <w:t xml:space="preserve">) (b) conceptual model in which each HRU is represented by a bin with height =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w:t>
      </w:r>
      <w:r w:rsidRPr="004F00CE">
        <w:rPr>
          <w:rFonts w:ascii="Arial" w:eastAsia="Calibri" w:hAnsi="Arial" w:cs="Arial"/>
          <w:i/>
          <w:sz w:val="18"/>
          <w:szCs w:val="18"/>
          <w:vertAlign w:val="subscript"/>
        </w:rPr>
        <w:t>i</w:t>
      </w:r>
      <w:r w:rsidRPr="004F00CE">
        <w:rPr>
          <w:rFonts w:ascii="Arial" w:eastAsia="Calibri" w:hAnsi="Arial" w:cs="Arial"/>
          <w:sz w:val="18"/>
          <w:szCs w:val="18"/>
        </w:rPr>
        <w:t xml:space="preserve">, width = </w:t>
      </w:r>
      <w:r w:rsidRPr="004F00CE">
        <w:rPr>
          <w:rFonts w:ascii="Arial" w:eastAsia="Calibri" w:hAnsi="Arial" w:cs="Arial"/>
          <w:i/>
          <w:iCs/>
          <w:sz w:val="18"/>
          <w:szCs w:val="18"/>
        </w:rPr>
        <w:t>a</w:t>
      </w:r>
      <w:r w:rsidRPr="004F00CE">
        <w:rPr>
          <w:rFonts w:ascii="Arial" w:eastAsia="Calibri" w:hAnsi="Arial" w:cs="Arial"/>
          <w:sz w:val="18"/>
          <w:szCs w:val="18"/>
          <w:vertAlign w:val="subscript"/>
        </w:rPr>
        <w:t>i</w:t>
      </w:r>
      <w:r w:rsidRPr="004F00CE">
        <w:rPr>
          <w:rFonts w:ascii="Arial" w:eastAsia="Calibri" w:hAnsi="Arial" w:cs="Arial"/>
          <w:sz w:val="18"/>
          <w:szCs w:val="18"/>
        </w:rPr>
        <w:t>, and unit thickness; shaded area indicates the filled portion during an event</w:t>
      </w:r>
      <w:r w:rsidR="00165159">
        <w:rPr>
          <w:rFonts w:ascii="Arial" w:eastAsia="Calibri" w:hAnsi="Arial" w:cs="Arial"/>
          <w:sz w:val="18"/>
          <w:szCs w:val="18"/>
        </w:rPr>
        <w:t xml:space="preserve"> with rainfall = </w:t>
      </w:r>
      <w:r w:rsidR="00165159">
        <w:rPr>
          <w:rFonts w:ascii="Arial" w:eastAsia="Calibri" w:hAnsi="Arial" w:cs="Arial"/>
          <w:i/>
          <w:sz w:val="18"/>
          <w:szCs w:val="18"/>
        </w:rPr>
        <w:t>P</w:t>
      </w:r>
      <w:r w:rsidRPr="004F00CE">
        <w:rPr>
          <w:rFonts w:ascii="Arial" w:eastAsia="Calibri" w:hAnsi="Arial" w:cs="Arial"/>
          <w:sz w:val="18"/>
          <w:szCs w:val="18"/>
        </w:rPr>
        <w:t>.</w:t>
      </w:r>
      <w:bookmarkEnd w:id="35"/>
    </w:p>
    <w:p w:rsidR="00587EFA" w:rsidRPr="00D339F4" w:rsidRDefault="00587EFA" w:rsidP="00587EFA">
      <w:pPr>
        <w:pStyle w:val="NormalNew"/>
      </w:pPr>
      <w:r w:rsidRPr="00D339F4">
        <w:lastRenderedPageBreak/>
        <w:t xml:space="preserve">Consider a general case of a heterogeneous watershed with </w:t>
      </w:r>
      <w:r w:rsidRPr="00D339F4">
        <w:rPr>
          <w:i/>
          <w:iCs/>
        </w:rPr>
        <w:t xml:space="preserve">n </w:t>
      </w:r>
      <w:r w:rsidRPr="00D339F4">
        <w:t>+1 HRUs such that</w:t>
      </w:r>
    </w:p>
    <w:p w:rsidR="00587EFA" w:rsidRPr="00D339F4" w:rsidRDefault="00587EFA" w:rsidP="00587EFA">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12"/>
          <w:szCs w:val="22"/>
        </w:rPr>
        <w:pict>
          <v:shape id="_x0000_i1037" type="#_x0000_t75" style="width:115.8pt;height:18.6pt">
            <v:imagedata r:id="rId23" o:title=""/>
          </v:shape>
        </w:pict>
      </w:r>
      <w:r w:rsidRPr="00D339F4">
        <w:rPr>
          <w:rFonts w:eastAsia="Calibri"/>
          <w:szCs w:val="22"/>
        </w:rPr>
        <w:t xml:space="preserve"> </w:t>
      </w:r>
      <w:r w:rsidRPr="00D339F4">
        <w:rPr>
          <w:rFonts w:eastAsia="Calibri"/>
          <w:szCs w:val="22"/>
        </w:rPr>
        <w:tab/>
      </w:r>
      <w:r w:rsidRPr="003E7194">
        <w:rPr>
          <w:rFonts w:eastAsia="Calibri"/>
          <w:sz w:val="20"/>
          <w:szCs w:val="20"/>
        </w:rPr>
        <w:t>(</w:t>
      </w:r>
      <w:r>
        <w:rPr>
          <w:rFonts w:eastAsia="Calibri"/>
          <w:noProof/>
          <w:sz w:val="20"/>
          <w:szCs w:val="20"/>
        </w:rPr>
        <w:t>12</w:t>
      </w:r>
      <w:r w:rsidRPr="003E7194">
        <w:rPr>
          <w:rFonts w:eastAsia="Calibri"/>
          <w:sz w:val="20"/>
          <w:szCs w:val="20"/>
        </w:rPr>
        <w:t>)</w:t>
      </w:r>
    </w:p>
    <w:p w:rsidR="00587EFA" w:rsidRPr="00D339F4" w:rsidRDefault="00587EFA" w:rsidP="00587EFA">
      <w:pPr>
        <w:pStyle w:val="NormalNew"/>
      </w:pPr>
      <w:r w:rsidRPr="00D339F4">
        <w:t xml:space="preserve">where </w:t>
      </w:r>
      <w:r w:rsidRPr="00D339F4">
        <w:rPr>
          <w:i/>
          <w:iCs/>
        </w:rPr>
        <w:t>I</w:t>
      </w:r>
      <w:r w:rsidRPr="00D339F4">
        <w:rPr>
          <w:i/>
          <w:iCs/>
          <w:vertAlign w:val="subscript"/>
        </w:rPr>
        <w:t>a</w:t>
      </w:r>
      <w:r w:rsidRPr="00D339F4">
        <w:rPr>
          <w:vertAlign w:val="subscript"/>
        </w:rPr>
        <w:t>0</w:t>
      </w:r>
      <w:r w:rsidRPr="00D339F4">
        <w:t xml:space="preserve"> represents open water bodies and other surfaces that cannot abstract rainfall. The areal average of the total initial abstraction (</w:t>
      </w:r>
      <w:r w:rsidRPr="00D339F4">
        <w:rPr>
          <w:i/>
          <w:iCs/>
        </w:rPr>
        <w:t>I</w:t>
      </w:r>
      <w:r w:rsidRPr="00D339F4">
        <w:rPr>
          <w:i/>
          <w:iCs/>
          <w:vertAlign w:val="subscript"/>
        </w:rPr>
        <w:t>aT</w:t>
      </w:r>
      <w:r w:rsidRPr="00D339F4">
        <w:t>) is given by</w:t>
      </w:r>
    </w:p>
    <w:p w:rsidR="00587EFA" w:rsidRPr="00D339F4" w:rsidRDefault="00587EFA" w:rsidP="00587EFA">
      <w:pPr>
        <w:tabs>
          <w:tab w:val="center" w:pos="4962"/>
          <w:tab w:val="right" w:pos="10348"/>
        </w:tabs>
        <w:spacing w:line="480" w:lineRule="auto"/>
        <w:rPr>
          <w:rFonts w:eastAsia="Calibri"/>
          <w:szCs w:val="22"/>
        </w:rPr>
      </w:pPr>
      <w:r w:rsidRPr="00D339F4">
        <w:rPr>
          <w:rFonts w:eastAsia="Calibri"/>
          <w:szCs w:val="22"/>
        </w:rPr>
        <w:tab/>
      </w:r>
      <w:r w:rsidR="00CB311D">
        <w:rPr>
          <w:rFonts w:eastAsia="Calibri"/>
          <w:position w:val="-26"/>
          <w:szCs w:val="22"/>
        </w:rPr>
        <w:pict>
          <v:shape id="_x0000_i1038" type="#_x0000_t75" style="width:57.6pt;height:31.8pt">
            <v:imagedata r:id="rId24" o:title=""/>
          </v:shape>
        </w:pict>
      </w:r>
      <w:r w:rsidRPr="00D339F4">
        <w:rPr>
          <w:rFonts w:eastAsia="Calibri"/>
          <w:szCs w:val="22"/>
        </w:rPr>
        <w:t xml:space="preserve"> </w:t>
      </w:r>
      <w:r w:rsidRPr="00D339F4">
        <w:rPr>
          <w:rFonts w:eastAsia="Calibri"/>
          <w:szCs w:val="22"/>
        </w:rPr>
        <w:tab/>
      </w:r>
      <w:r w:rsidRPr="003E7194">
        <w:rPr>
          <w:rFonts w:eastAsia="Calibri"/>
          <w:sz w:val="20"/>
          <w:szCs w:val="20"/>
        </w:rPr>
        <w:t>(</w:t>
      </w:r>
      <w:r>
        <w:rPr>
          <w:rFonts w:eastAsia="Calibri"/>
          <w:noProof/>
          <w:sz w:val="20"/>
          <w:szCs w:val="20"/>
        </w:rPr>
        <w:t>13</w:t>
      </w:r>
      <w:r w:rsidRPr="003E7194">
        <w:rPr>
          <w:rFonts w:eastAsia="Calibri"/>
          <w:sz w:val="20"/>
          <w:szCs w:val="20"/>
        </w:rPr>
        <w:t>)</w:t>
      </w:r>
    </w:p>
    <w:p w:rsidR="00587EFA" w:rsidRDefault="00587EFA" w:rsidP="00587EFA">
      <w:pPr>
        <w:pStyle w:val="NormalNew"/>
      </w:pPr>
      <w:r w:rsidRPr="00D339F4">
        <w:t xml:space="preserve">In a rainfall event, all the HRUs with </w:t>
      </w:r>
      <w:r w:rsidRPr="00D339F4">
        <w:rPr>
          <w:i/>
          <w:iCs/>
        </w:rPr>
        <w:t>I</w:t>
      </w:r>
      <w:r w:rsidRPr="00D339F4">
        <w:rPr>
          <w:i/>
          <w:iCs/>
          <w:vertAlign w:val="subscript"/>
        </w:rPr>
        <w:t>ai</w:t>
      </w:r>
      <w:r w:rsidRPr="00D339F4">
        <w:t xml:space="preserve"> ≤ </w:t>
      </w:r>
      <w:r w:rsidRPr="00D339F4">
        <w:rPr>
          <w:i/>
          <w:iCs/>
        </w:rPr>
        <w:t>P</w:t>
      </w:r>
      <w:r w:rsidRPr="00D339F4">
        <w:t xml:space="preserve"> have their initial abstractions completely filled while the others are partially filled. Just by analyzing the runoff for that event, it is impossible to quantify the magnitudes of </w:t>
      </w:r>
      <w:r w:rsidRPr="00D339F4">
        <w:rPr>
          <w:i/>
          <w:iCs/>
        </w:rPr>
        <w:t>I</w:t>
      </w:r>
      <w:r w:rsidRPr="00D339F4">
        <w:rPr>
          <w:i/>
          <w:iCs/>
          <w:vertAlign w:val="subscript"/>
        </w:rPr>
        <w:t>ai</w:t>
      </w:r>
      <w:r w:rsidRPr="00D339F4">
        <w:t xml:space="preserve"> </w:t>
      </w:r>
      <w:r w:rsidR="00594BCB">
        <w:t xml:space="preserve">in HRUs </w:t>
      </w:r>
      <w:r w:rsidRPr="00D339F4">
        <w:t>that are partially filled. Because the</w:t>
      </w:r>
      <w:r w:rsidR="00594BCB">
        <w:t>se</w:t>
      </w:r>
      <w:r w:rsidRPr="00D339F4">
        <w:t xml:space="preserve"> </w:t>
      </w:r>
      <w:r w:rsidR="00594BCB">
        <w:t xml:space="preserve">HRUs </w:t>
      </w:r>
      <w:r w:rsidRPr="00D339F4">
        <w:t>have not contributed to the runoff, all that can be said is that their</w:t>
      </w:r>
      <w:r w:rsidRPr="00D339F4">
        <w:rPr>
          <w:i/>
          <w:iCs/>
        </w:rPr>
        <w:t xml:space="preserve"> I</w:t>
      </w:r>
      <w:r w:rsidRPr="00D339F4">
        <w:rPr>
          <w:i/>
          <w:iCs/>
          <w:vertAlign w:val="subscript"/>
        </w:rPr>
        <w:t>ai</w:t>
      </w:r>
      <w:r w:rsidR="00594BCB">
        <w:t xml:space="preserve"> values</w:t>
      </w:r>
      <w:r w:rsidRPr="00D339F4">
        <w:t xml:space="preserve"> are greater than </w:t>
      </w:r>
      <w:r w:rsidRPr="00D339F4">
        <w:rPr>
          <w:i/>
          <w:iCs/>
        </w:rPr>
        <w:t>P</w:t>
      </w:r>
      <w:r w:rsidR="00594BCB">
        <w:rPr>
          <w:iCs/>
        </w:rPr>
        <w:t>,</w:t>
      </w:r>
      <w:r w:rsidRPr="00D339F4">
        <w:t xml:space="preserve"> but their magnitudes remain unknown. However, the information on the magnitudes of </w:t>
      </w:r>
      <w:r w:rsidRPr="00D339F4">
        <w:rPr>
          <w:i/>
          <w:iCs/>
        </w:rPr>
        <w:t>I</w:t>
      </w:r>
      <w:r w:rsidRPr="00D339F4">
        <w:rPr>
          <w:i/>
          <w:iCs/>
          <w:vertAlign w:val="subscript"/>
        </w:rPr>
        <w:t>ai</w:t>
      </w:r>
      <w:r w:rsidRPr="00D339F4">
        <w:t xml:space="preserve"> </w:t>
      </w:r>
      <w:r w:rsidR="00594BCB">
        <w:t xml:space="preserve">in HRUs </w:t>
      </w:r>
      <w:r w:rsidRPr="00D339F4">
        <w:t>that are completely filled should be present in the runoff data. In other words, it takes larger rainfalls to fill larger</w:t>
      </w:r>
      <w:r w:rsidR="00594BCB">
        <w:t xml:space="preserve"> values of</w:t>
      </w:r>
      <w:r w:rsidRPr="00D339F4">
        <w:t xml:space="preserve"> </w:t>
      </w:r>
      <w:r w:rsidRPr="00D339F4">
        <w:rPr>
          <w:i/>
          <w:iCs/>
        </w:rPr>
        <w:t>I</w:t>
      </w:r>
      <w:r w:rsidRPr="00D339F4">
        <w:rPr>
          <w:i/>
          <w:iCs/>
          <w:vertAlign w:val="subscript"/>
        </w:rPr>
        <w:t>ai</w:t>
      </w:r>
      <w:r w:rsidRPr="00D339F4">
        <w:t xml:space="preserve"> and gather information about their magnitude.</w:t>
      </w:r>
    </w:p>
    <w:p w:rsidR="00EF21FC" w:rsidRPr="00D339F4" w:rsidRDefault="00D339F4" w:rsidP="00C10866">
      <w:pPr>
        <w:pStyle w:val="NormalNew"/>
      </w:pPr>
      <w:r w:rsidRPr="00D339F4">
        <w:t xml:space="preserve">Then what is the effective initial abstraction of the watershed for a given rainfall event? Consider an event where the rainfall falls within the range: </w:t>
      </w:r>
      <w:r w:rsidRPr="00D339F4">
        <w:rPr>
          <w:i/>
          <w:iCs/>
        </w:rPr>
        <w:t>I</w:t>
      </w:r>
      <w:r w:rsidRPr="00D339F4">
        <w:rPr>
          <w:i/>
          <w:iCs/>
          <w:vertAlign w:val="subscript"/>
        </w:rPr>
        <w:t>am</w:t>
      </w:r>
      <w:r w:rsidRPr="00D339F4">
        <w:t xml:space="preserve"> ≤ </w:t>
      </w:r>
      <w:r w:rsidRPr="00D339F4">
        <w:rPr>
          <w:i/>
          <w:iCs/>
        </w:rPr>
        <w:t>P</w:t>
      </w:r>
      <w:r w:rsidRPr="00D339F4">
        <w:t xml:space="preserve"> &lt; </w:t>
      </w:r>
      <w:r w:rsidRPr="00D339F4">
        <w:rPr>
          <w:i/>
          <w:iCs/>
        </w:rPr>
        <w:t>I</w:t>
      </w:r>
      <w:r w:rsidRPr="00D339F4">
        <w:rPr>
          <w:i/>
          <w:iCs/>
          <w:vertAlign w:val="subscript"/>
        </w:rPr>
        <w:t>a</w:t>
      </w:r>
      <w:r w:rsidRPr="00D339F4">
        <w:rPr>
          <w:vertAlign w:val="subscript"/>
        </w:rPr>
        <w:t>(</w:t>
      </w:r>
      <w:r w:rsidRPr="00D339F4">
        <w:rPr>
          <w:i/>
          <w:iCs/>
          <w:vertAlign w:val="subscript"/>
        </w:rPr>
        <w:t>m+</w:t>
      </w:r>
      <w:r w:rsidRPr="00D339F4">
        <w:rPr>
          <w:vertAlign w:val="subscript"/>
        </w:rPr>
        <w:t>1)</w:t>
      </w:r>
      <w:r w:rsidRPr="00D339F4">
        <w:t xml:space="preserve">. HRUs with </w:t>
      </w:r>
      <w:r w:rsidRPr="00D339F4">
        <w:rPr>
          <w:i/>
          <w:iCs/>
        </w:rPr>
        <w:t>I</w:t>
      </w:r>
      <w:r w:rsidRPr="00D339F4">
        <w:rPr>
          <w:i/>
          <w:iCs/>
          <w:vertAlign w:val="subscript"/>
        </w:rPr>
        <w:t>ai</w:t>
      </w:r>
      <w:r w:rsidRPr="00D339F4">
        <w:t xml:space="preserve"> ≤ </w:t>
      </w:r>
      <w:r w:rsidRPr="00D339F4">
        <w:rPr>
          <w:i/>
          <w:iCs/>
        </w:rPr>
        <w:t>I</w:t>
      </w:r>
      <w:r w:rsidRPr="00D339F4">
        <w:rPr>
          <w:i/>
          <w:iCs/>
          <w:vertAlign w:val="subscript"/>
        </w:rPr>
        <w:t>am</w:t>
      </w:r>
      <w:r w:rsidRPr="00D339F4">
        <w:t xml:space="preserve"> have their initial abstractions completely filled and produce runoff, whereas HRUs with </w:t>
      </w:r>
      <w:r w:rsidRPr="00D339F4">
        <w:rPr>
          <w:i/>
          <w:iCs/>
        </w:rPr>
        <w:t>I</w:t>
      </w:r>
      <w:r w:rsidRPr="00D339F4">
        <w:rPr>
          <w:i/>
          <w:iCs/>
          <w:vertAlign w:val="subscript"/>
        </w:rPr>
        <w:t>ai</w:t>
      </w:r>
      <w:r w:rsidRPr="00D339F4">
        <w:t xml:space="preserve"> ≥ </w:t>
      </w:r>
      <w:r w:rsidRPr="00D339F4">
        <w:rPr>
          <w:i/>
          <w:iCs/>
        </w:rPr>
        <w:t>I</w:t>
      </w:r>
      <w:r w:rsidRPr="00D339F4">
        <w:rPr>
          <w:i/>
          <w:iCs/>
          <w:vertAlign w:val="subscript"/>
        </w:rPr>
        <w:t>a</w:t>
      </w:r>
      <w:r w:rsidRPr="00D339F4">
        <w:rPr>
          <w:vertAlign w:val="subscript"/>
        </w:rPr>
        <w:t>(</w:t>
      </w:r>
      <w:r w:rsidRPr="00D339F4">
        <w:rPr>
          <w:i/>
          <w:iCs/>
          <w:vertAlign w:val="subscript"/>
        </w:rPr>
        <w:t>m+</w:t>
      </w:r>
      <w:r w:rsidRPr="00D339F4">
        <w:rPr>
          <w:vertAlign w:val="subscript"/>
        </w:rPr>
        <w:t>1)</w:t>
      </w:r>
      <w:r w:rsidRPr="00D339F4">
        <w:t xml:space="preserve"> have their initial abstractions partially filled up to the level of </w:t>
      </w:r>
      <w:r w:rsidRPr="00D339F4">
        <w:rPr>
          <w:i/>
          <w:iCs/>
        </w:rPr>
        <w:t>P</w:t>
      </w:r>
      <w:r w:rsidRPr="00D339F4">
        <w:t xml:space="preserve"> and do not produce runoff. The areal average of the filled portion (includes completely filled as well as partially filled HRUs) of the initial abstraction is given by</w:t>
      </w:r>
    </w:p>
    <w:p w:rsidR="00D339F4" w:rsidRPr="00D339F4" w:rsidRDefault="00D339F4" w:rsidP="003E7194">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26"/>
          <w:szCs w:val="22"/>
        </w:rPr>
        <w:pict>
          <v:shape id="_x0000_i1039" type="#_x0000_t75" style="width:123pt;height:31.8pt">
            <v:imagedata r:id="rId25" o:title=""/>
          </v:shape>
        </w:pict>
      </w:r>
      <w:r w:rsidRPr="00D339F4">
        <w:rPr>
          <w:rFonts w:eastAsia="Calibri"/>
          <w:szCs w:val="22"/>
        </w:rPr>
        <w:t xml:space="preserve"> </w:t>
      </w:r>
      <w:r w:rsidRPr="00D339F4">
        <w:rPr>
          <w:rFonts w:eastAsia="Calibri"/>
          <w:szCs w:val="22"/>
        </w:rPr>
        <w:tab/>
      </w:r>
      <w:bookmarkStart w:id="36" w:name="ZEqnNum472268"/>
      <w:r w:rsidRPr="003E7194">
        <w:rPr>
          <w:rFonts w:eastAsia="Calibri"/>
          <w:sz w:val="20"/>
          <w:szCs w:val="20"/>
        </w:rPr>
        <w:t>(</w:t>
      </w:r>
      <w:r w:rsidR="00B615A2">
        <w:rPr>
          <w:rFonts w:eastAsia="Calibri"/>
          <w:noProof/>
          <w:sz w:val="20"/>
          <w:szCs w:val="20"/>
        </w:rPr>
        <w:t>14</w:t>
      </w:r>
      <w:r w:rsidRPr="003E7194">
        <w:rPr>
          <w:rFonts w:eastAsia="Calibri"/>
          <w:sz w:val="20"/>
          <w:szCs w:val="20"/>
        </w:rPr>
        <w:t>)</w:t>
      </w:r>
      <w:bookmarkEnd w:id="36"/>
    </w:p>
    <w:p w:rsidR="00EF21FC" w:rsidRPr="00D339F4" w:rsidRDefault="00D339F4" w:rsidP="00EF21FC">
      <w:pPr>
        <w:pStyle w:val="NormalNew"/>
      </w:pPr>
      <w:r w:rsidRPr="00D339F4">
        <w:t xml:space="preserve">The first term on the </w:t>
      </w:r>
      <w:r w:rsidR="00EF21FC" w:rsidRPr="00D339F4">
        <w:t>right-hand</w:t>
      </w:r>
      <w:r w:rsidRPr="00D339F4">
        <w:t xml:space="preserve"> side of eq. </w:t>
      </w:r>
      <w:r w:rsidR="00B615A2" w:rsidRPr="00B615A2">
        <w:t>(14)</w:t>
      </w:r>
      <w:r w:rsidRPr="00D339F4">
        <w:t xml:space="preserve"> represents completely filled HRUs. The second term represents partially filled HRUs, all of which are filled to the level of </w:t>
      </w:r>
      <w:r w:rsidRPr="00D339F4">
        <w:rPr>
          <w:i/>
          <w:iCs/>
        </w:rPr>
        <w:t>P</w:t>
      </w:r>
      <w:r w:rsidRPr="00D339F4">
        <w:t xml:space="preserve">. Note that </w:t>
      </w:r>
      <w:r w:rsidRPr="00D339F4">
        <w:rPr>
          <w:i/>
          <w:iCs/>
        </w:rPr>
        <w:t>I</w:t>
      </w:r>
      <w:r w:rsidRPr="00D339F4">
        <w:rPr>
          <w:i/>
          <w:iCs/>
          <w:vertAlign w:val="subscript"/>
        </w:rPr>
        <w:t>aT</w:t>
      </w:r>
      <w:r w:rsidRPr="00D339F4">
        <w:t xml:space="preserve"> is the areal average of total initial abstraction, whereas </w:t>
      </w:r>
      <w:r w:rsidRPr="00D339F4">
        <w:rPr>
          <w:i/>
          <w:iCs/>
        </w:rPr>
        <w:t>I</w:t>
      </w:r>
      <w:r w:rsidRPr="00D339F4">
        <w:rPr>
          <w:i/>
          <w:iCs/>
          <w:vertAlign w:val="subscript"/>
        </w:rPr>
        <w:t>aF</w:t>
      </w:r>
      <w:r w:rsidRPr="00D339F4">
        <w:t xml:space="preserve"> is the areal average of the filled portion. Therefore,</w:t>
      </w:r>
    </w:p>
    <w:p w:rsidR="00D339F4" w:rsidRPr="00D339F4" w:rsidRDefault="00D339F4" w:rsidP="003E7194">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30"/>
          <w:szCs w:val="22"/>
        </w:rPr>
        <w:pict>
          <v:shape id="_x0000_i1040" type="#_x0000_t75" style="width:96pt;height:36pt">
            <v:imagedata r:id="rId26" o:title=""/>
          </v:shape>
        </w:pict>
      </w:r>
      <w:r w:rsidRPr="00D339F4">
        <w:rPr>
          <w:rFonts w:eastAsia="Calibri"/>
          <w:szCs w:val="22"/>
        </w:rPr>
        <w:t xml:space="preserve"> </w:t>
      </w:r>
      <w:r w:rsidRPr="00D339F4">
        <w:rPr>
          <w:rFonts w:eastAsia="Calibri"/>
          <w:szCs w:val="22"/>
        </w:rPr>
        <w:tab/>
      </w:r>
      <w:bookmarkStart w:id="37" w:name="ZEqnNum852834"/>
      <w:r w:rsidRPr="003E7194">
        <w:rPr>
          <w:rFonts w:eastAsia="Calibri"/>
          <w:sz w:val="20"/>
          <w:szCs w:val="20"/>
        </w:rPr>
        <w:t>(</w:t>
      </w:r>
      <w:r w:rsidR="00B615A2">
        <w:rPr>
          <w:rFonts w:eastAsia="Calibri"/>
          <w:noProof/>
          <w:sz w:val="20"/>
          <w:szCs w:val="20"/>
        </w:rPr>
        <w:t>15</w:t>
      </w:r>
      <w:r w:rsidRPr="003E7194">
        <w:rPr>
          <w:rFonts w:eastAsia="Calibri"/>
          <w:sz w:val="20"/>
          <w:szCs w:val="20"/>
        </w:rPr>
        <w:t>)</w:t>
      </w:r>
      <w:bookmarkEnd w:id="37"/>
    </w:p>
    <w:p w:rsidR="00D339F4" w:rsidRPr="00D339F4" w:rsidRDefault="00D339F4" w:rsidP="00EF21FC">
      <w:pPr>
        <w:pStyle w:val="NormalNew"/>
      </w:pPr>
      <w:r w:rsidRPr="00D339F4">
        <w:t xml:space="preserve">The conceptual model presented in </w:t>
      </w:r>
      <w:r w:rsidR="00B615A2" w:rsidRPr="00B615A2">
        <w:t>Figure 3</w:t>
      </w:r>
      <w:r w:rsidRPr="00D339F4">
        <w:t xml:space="preserve">, and in eqs. </w:t>
      </w:r>
      <w:r w:rsidR="00B615A2" w:rsidRPr="00B615A2">
        <w:t>(14)</w:t>
      </w:r>
      <w:r w:rsidRPr="00D339F4">
        <w:t xml:space="preserve"> and </w:t>
      </w:r>
      <w:r w:rsidR="00B615A2" w:rsidRPr="00B615A2">
        <w:t>(15)</w:t>
      </w:r>
      <w:r w:rsidRPr="00D339F4">
        <w:t xml:space="preserve"> is intuitively appealing, and also hints at the possibility that </w:t>
      </w:r>
      <w:r w:rsidRPr="00D339F4">
        <w:rPr>
          <w:i/>
          <w:iCs/>
        </w:rPr>
        <w:t>I</w:t>
      </w:r>
      <w:r w:rsidRPr="00D339F4">
        <w:rPr>
          <w:i/>
          <w:iCs/>
          <w:vertAlign w:val="subscript"/>
        </w:rPr>
        <w:t>aW</w:t>
      </w:r>
      <w:r w:rsidRPr="00D339F4">
        <w:t xml:space="preserve"> may be equal to </w:t>
      </w:r>
      <w:r w:rsidRPr="00D339F4">
        <w:rPr>
          <w:i/>
          <w:iCs/>
        </w:rPr>
        <w:t>I</w:t>
      </w:r>
      <w:r w:rsidRPr="00D339F4">
        <w:rPr>
          <w:i/>
          <w:iCs/>
          <w:vertAlign w:val="subscript"/>
        </w:rPr>
        <w:t>aF</w:t>
      </w:r>
      <w:r w:rsidRPr="00D339F4">
        <w:t xml:space="preserve">. This is because </w:t>
      </w:r>
      <w:r w:rsidRPr="00D339F4">
        <w:rPr>
          <w:i/>
          <w:iCs/>
        </w:rPr>
        <w:t>I</w:t>
      </w:r>
      <w:r w:rsidRPr="00D339F4">
        <w:rPr>
          <w:i/>
          <w:iCs/>
          <w:vertAlign w:val="subscript"/>
        </w:rPr>
        <w:t>aF</w:t>
      </w:r>
      <w:r w:rsidRPr="00D339F4">
        <w:t xml:space="preserve"> increases with </w:t>
      </w:r>
      <w:r w:rsidRPr="00D339F4">
        <w:rPr>
          <w:i/>
        </w:rPr>
        <w:t>P</w:t>
      </w:r>
      <w:r w:rsidRPr="00D339F4">
        <w:t xml:space="preserve"> and approaches a constant value (</w:t>
      </w:r>
      <w:r w:rsidRPr="00D339F4">
        <w:rPr>
          <w:i/>
          <w:iCs/>
        </w:rPr>
        <w:t>I</w:t>
      </w:r>
      <w:r w:rsidRPr="00D339F4">
        <w:rPr>
          <w:i/>
          <w:iCs/>
          <w:vertAlign w:val="subscript"/>
        </w:rPr>
        <w:t>aT</w:t>
      </w:r>
      <w:r w:rsidRPr="00D339F4">
        <w:t xml:space="preserve">), similar to the </w:t>
      </w:r>
      <w:r w:rsidRPr="00D339F4">
        <w:lastRenderedPageBreak/>
        <w:t xml:space="preserve">observations in </w:t>
      </w:r>
      <w:r w:rsidR="00B615A2" w:rsidRPr="00B615A2">
        <w:t>Figure 2</w:t>
      </w:r>
      <w:r w:rsidRPr="00D339F4">
        <w:t xml:space="preserve">(c) and 2(d). Eq. </w:t>
      </w:r>
      <w:r w:rsidR="00B615A2" w:rsidRPr="00B615A2">
        <w:t>(14)</w:t>
      </w:r>
      <w:r w:rsidRPr="00D339F4">
        <w:t xml:space="preserve"> is also consistent with a distributed parameter model application of the CN method as described in Section-3.</w:t>
      </w:r>
    </w:p>
    <w:p w:rsidR="00D339F4" w:rsidRPr="00D339F4" w:rsidRDefault="00D339F4" w:rsidP="00D339F4">
      <w:pPr>
        <w:pStyle w:val="Heading3"/>
      </w:pPr>
      <w:bookmarkStart w:id="38" w:name="_Toc479817860"/>
      <w:bookmarkStart w:id="39" w:name="_Toc481658236"/>
      <w:r w:rsidRPr="00D339F4">
        <w:t xml:space="preserve">2.3. Variation of </w:t>
      </w:r>
      <w:r w:rsidRPr="00D339F4">
        <w:rPr>
          <w:i/>
          <w:iCs/>
        </w:rPr>
        <w:t>I</w:t>
      </w:r>
      <w:r w:rsidRPr="00D339F4">
        <w:rPr>
          <w:i/>
          <w:iCs/>
          <w:vertAlign w:val="subscript"/>
        </w:rPr>
        <w:t>aF</w:t>
      </w:r>
      <w:r w:rsidRPr="00D339F4">
        <w:t xml:space="preserve"> with </w:t>
      </w:r>
      <w:r w:rsidRPr="00D339F4">
        <w:rPr>
          <w:i/>
        </w:rPr>
        <w:t>P</w:t>
      </w:r>
      <w:bookmarkEnd w:id="38"/>
      <w:bookmarkEnd w:id="39"/>
    </w:p>
    <w:p w:rsidR="00CE0698" w:rsidRPr="00D339F4" w:rsidRDefault="00D339F4" w:rsidP="00331E3F">
      <w:pPr>
        <w:pStyle w:val="NormalNew"/>
      </w:pPr>
      <w:r w:rsidRPr="00D339F4">
        <w:t>To investigate the variation of</w:t>
      </w:r>
      <w:r w:rsidRPr="00D339F4">
        <w:rPr>
          <w:i/>
          <w:iCs/>
        </w:rPr>
        <w:t xml:space="preserve"> I</w:t>
      </w:r>
      <w:r w:rsidRPr="00D339F4">
        <w:rPr>
          <w:i/>
          <w:iCs/>
          <w:vertAlign w:val="subscript"/>
        </w:rPr>
        <w:t>aF</w:t>
      </w:r>
      <w:r w:rsidRPr="00D339F4">
        <w:t xml:space="preserve"> with </w:t>
      </w:r>
      <w:r w:rsidRPr="00D339F4">
        <w:rPr>
          <w:i/>
          <w:iCs/>
        </w:rPr>
        <w:t>P</w:t>
      </w:r>
      <w:r w:rsidRPr="00D339F4">
        <w:t xml:space="preserve">, eqs. </w:t>
      </w:r>
      <w:r w:rsidR="00B615A2" w:rsidRPr="00B615A2">
        <w:rPr>
          <w:iCs/>
        </w:rPr>
        <w:t>(14)</w:t>
      </w:r>
      <w:r w:rsidRPr="00D339F4">
        <w:rPr>
          <w:iCs/>
        </w:rPr>
        <w:t xml:space="preserve"> and </w:t>
      </w:r>
      <w:r w:rsidR="00B615A2" w:rsidRPr="00B615A2">
        <w:t>(15)</w:t>
      </w:r>
      <w:r w:rsidRPr="00D339F4">
        <w:t xml:space="preserve"> are applied to the scenario presented in </w:t>
      </w:r>
      <w:r w:rsidR="00B615A2" w:rsidRPr="00B615A2">
        <w:t>Figure 3</w:t>
      </w:r>
      <w:r w:rsidRPr="00D339F4">
        <w:t xml:space="preserve">, where </w:t>
      </w:r>
      <w:r w:rsidRPr="00D339F4">
        <w:rPr>
          <w:i/>
          <w:iCs/>
        </w:rPr>
        <w:t>n</w:t>
      </w:r>
      <w:r w:rsidRPr="00D339F4">
        <w:t xml:space="preserve"> = 3. A plot of </w:t>
      </w:r>
      <w:r w:rsidRPr="00D339F4">
        <w:rPr>
          <w:i/>
          <w:iCs/>
        </w:rPr>
        <w:t>I</w:t>
      </w:r>
      <w:r w:rsidRPr="00D339F4">
        <w:rPr>
          <w:i/>
          <w:iCs/>
          <w:vertAlign w:val="subscript"/>
        </w:rPr>
        <w:t>aF</w:t>
      </w:r>
      <w:r w:rsidRPr="00D339F4">
        <w:t xml:space="preserve"> vs. </w:t>
      </w:r>
      <w:r w:rsidRPr="00D339F4">
        <w:rPr>
          <w:i/>
          <w:iCs/>
        </w:rPr>
        <w:t>P</w:t>
      </w:r>
      <w:r w:rsidRPr="00D339F4">
        <w:t xml:space="preserve"> (</w:t>
      </w:r>
      <w:r w:rsidR="00B615A2" w:rsidRPr="00B615A2">
        <w:t>Figure 4</w:t>
      </w:r>
      <w:r w:rsidRPr="00D339F4">
        <w:t xml:space="preserve">) shows that </w:t>
      </w:r>
      <w:r w:rsidRPr="00D339F4">
        <w:rPr>
          <w:i/>
          <w:iCs/>
        </w:rPr>
        <w:t>I</w:t>
      </w:r>
      <w:r w:rsidRPr="00D339F4">
        <w:rPr>
          <w:i/>
          <w:iCs/>
          <w:vertAlign w:val="subscript"/>
        </w:rPr>
        <w:t>aF</w:t>
      </w:r>
      <w:r w:rsidRPr="00D339F4">
        <w:t xml:space="preserve"> increases with </w:t>
      </w:r>
      <w:r w:rsidRPr="00D339F4">
        <w:rPr>
          <w:i/>
          <w:iCs/>
        </w:rPr>
        <w:t>P</w:t>
      </w:r>
      <w:r w:rsidRPr="00D339F4">
        <w:t xml:space="preserve"> and becomes constant (</w:t>
      </w:r>
      <w:r w:rsidRPr="00D339F4">
        <w:rPr>
          <w:i/>
          <w:iCs/>
        </w:rPr>
        <w:t>I</w:t>
      </w:r>
      <w:r w:rsidRPr="00D339F4">
        <w:rPr>
          <w:i/>
          <w:iCs/>
          <w:vertAlign w:val="subscript"/>
        </w:rPr>
        <w:t>aF</w:t>
      </w:r>
      <w:r w:rsidRPr="00D339F4">
        <w:t xml:space="preserve"> = </w:t>
      </w:r>
      <w:r w:rsidRPr="00D339F4">
        <w:rPr>
          <w:i/>
          <w:iCs/>
        </w:rPr>
        <w:t>I</w:t>
      </w:r>
      <w:r w:rsidRPr="00D339F4">
        <w:rPr>
          <w:i/>
          <w:iCs/>
          <w:vertAlign w:val="subscript"/>
        </w:rPr>
        <w:t>aT</w:t>
      </w:r>
      <w:r w:rsidRPr="00D339F4">
        <w:t xml:space="preserve">) at large values of </w:t>
      </w:r>
      <w:r w:rsidRPr="00D339F4">
        <w:rPr>
          <w:i/>
          <w:iCs/>
        </w:rPr>
        <w:t>P</w:t>
      </w:r>
      <w:r w:rsidRPr="00D339F4">
        <w:t xml:space="preserve"> (</w:t>
      </w:r>
      <w:r w:rsidRPr="00D339F4">
        <w:rPr>
          <w:i/>
          <w:iCs/>
        </w:rPr>
        <w:t>P</w:t>
      </w:r>
      <w:r w:rsidRPr="00D339F4">
        <w:t xml:space="preserve"> ≥ </w:t>
      </w:r>
      <w:r w:rsidRPr="00D339F4">
        <w:rPr>
          <w:i/>
          <w:iCs/>
        </w:rPr>
        <w:t>I</w:t>
      </w:r>
      <w:r w:rsidRPr="00D339F4">
        <w:rPr>
          <w:i/>
          <w:iCs/>
          <w:vertAlign w:val="subscript"/>
        </w:rPr>
        <w:t>a</w:t>
      </w:r>
      <w:r w:rsidRPr="00D339F4">
        <w:rPr>
          <w:vertAlign w:val="subscript"/>
        </w:rPr>
        <w:t>3</w:t>
      </w:r>
      <w:r w:rsidRPr="00D339F4">
        <w:t xml:space="preserve">). The kink-points joining the line segments occur when the initial abstraction of one of the HRUs becomes completely filled. At these points, </w:t>
      </w:r>
      <w:r w:rsidRPr="00D339F4">
        <w:rPr>
          <w:i/>
          <w:iCs/>
        </w:rPr>
        <w:t>P</w:t>
      </w:r>
      <w:r w:rsidRPr="00D339F4">
        <w:t xml:space="preserve"> is equal to one of the </w:t>
      </w:r>
      <w:r w:rsidRPr="00D339F4">
        <w:rPr>
          <w:i/>
          <w:iCs/>
        </w:rPr>
        <w:t>I</w:t>
      </w:r>
      <w:r w:rsidRPr="00D339F4">
        <w:rPr>
          <w:i/>
          <w:iCs/>
          <w:vertAlign w:val="subscript"/>
        </w:rPr>
        <w:t>ai</w:t>
      </w:r>
      <w:r w:rsidR="00BC7C58">
        <w:t xml:space="preserve"> values</w:t>
      </w:r>
      <w:r w:rsidRPr="00D339F4">
        <w:t>. In between these points (</w:t>
      </w:r>
      <w:r w:rsidRPr="00D339F4">
        <w:rPr>
          <w:i/>
          <w:iCs/>
        </w:rPr>
        <w:t>I</w:t>
      </w:r>
      <w:r w:rsidRPr="00D339F4">
        <w:rPr>
          <w:i/>
          <w:iCs/>
          <w:vertAlign w:val="subscript"/>
        </w:rPr>
        <w:t>am</w:t>
      </w:r>
      <w:r w:rsidRPr="00D339F4">
        <w:t xml:space="preserve"> &lt; </w:t>
      </w:r>
      <w:r w:rsidRPr="00D339F4">
        <w:rPr>
          <w:i/>
          <w:iCs/>
        </w:rPr>
        <w:t>P</w:t>
      </w:r>
      <w:r w:rsidRPr="00D339F4">
        <w:t xml:space="preserve"> &lt; </w:t>
      </w:r>
      <w:r w:rsidRPr="00D339F4">
        <w:rPr>
          <w:i/>
          <w:iCs/>
        </w:rPr>
        <w:t>I</w:t>
      </w:r>
      <w:r w:rsidRPr="00D339F4">
        <w:rPr>
          <w:i/>
          <w:iCs/>
          <w:vertAlign w:val="subscript"/>
        </w:rPr>
        <w:t>a</w:t>
      </w:r>
      <w:r w:rsidRPr="00D339F4">
        <w:rPr>
          <w:vertAlign w:val="subscript"/>
        </w:rPr>
        <w:t>(</w:t>
      </w:r>
      <w:r w:rsidRPr="00D339F4">
        <w:rPr>
          <w:i/>
          <w:iCs/>
          <w:vertAlign w:val="subscript"/>
        </w:rPr>
        <w:t>m+</w:t>
      </w:r>
      <w:r w:rsidRPr="00D339F4">
        <w:rPr>
          <w:vertAlign w:val="subscript"/>
        </w:rPr>
        <w:t>1)</w:t>
      </w:r>
      <w:r w:rsidRPr="00D339F4">
        <w:t>), the relationship between</w:t>
      </w:r>
      <w:r w:rsidRPr="00D339F4">
        <w:rPr>
          <w:i/>
          <w:iCs/>
        </w:rPr>
        <w:t xml:space="preserve"> I</w:t>
      </w:r>
      <w:r w:rsidRPr="00D339F4">
        <w:rPr>
          <w:i/>
          <w:iCs/>
          <w:vertAlign w:val="subscript"/>
        </w:rPr>
        <w:t>aF</w:t>
      </w:r>
      <w:r w:rsidRPr="00D339F4">
        <w:t xml:space="preserve"> and </w:t>
      </w:r>
      <w:r w:rsidRPr="00D339F4">
        <w:rPr>
          <w:i/>
          <w:iCs/>
        </w:rPr>
        <w:t>P</w:t>
      </w:r>
      <w:r w:rsidRPr="00D339F4">
        <w:t xml:space="preserve"> is linear with a slope of </w:t>
      </w:r>
      <w:r w:rsidR="00CB311D">
        <w:rPr>
          <w:position w:val="-28"/>
        </w:rPr>
        <w:pict>
          <v:shape id="_x0000_i1041" type="#_x0000_t75" style="width:52.2pt;height:34.2pt">
            <v:imagedata r:id="rId27" o:title=""/>
          </v:shape>
        </w:pict>
      </w:r>
      <w:r w:rsidRPr="00D339F4">
        <w:t xml:space="preserve">. The slope abruptly changes across the kink-points. It decreases with </w:t>
      </w:r>
      <w:r w:rsidRPr="00D339F4">
        <w:rPr>
          <w:i/>
          <w:iCs/>
        </w:rPr>
        <w:t>m</w:t>
      </w:r>
      <w:r w:rsidRPr="00D339F4">
        <w:t xml:space="preserve">, and becomes zero when </w:t>
      </w:r>
      <w:r w:rsidRPr="00D339F4">
        <w:rPr>
          <w:i/>
          <w:iCs/>
        </w:rPr>
        <w:t>m</w:t>
      </w:r>
      <w:r w:rsidRPr="00D339F4">
        <w:t xml:space="preserve"> = </w:t>
      </w:r>
      <w:r w:rsidRPr="00D339F4">
        <w:rPr>
          <w:i/>
          <w:iCs/>
        </w:rPr>
        <w:t>n</w:t>
      </w:r>
      <w:r w:rsidRPr="00D339F4">
        <w:t>. The maximum value the slope can take is unity. This occurs with the line segment passing through the origin, when HRUs with zero initial abstraction are absent (i.e.</w:t>
      </w:r>
      <w:r w:rsidRPr="00D339F4">
        <w:rPr>
          <w:i/>
          <w:iCs/>
        </w:rPr>
        <w:t xml:space="preserve"> a</w:t>
      </w:r>
      <w:r w:rsidRPr="00D339F4">
        <w:rPr>
          <w:vertAlign w:val="subscript"/>
        </w:rPr>
        <w:t>0</w:t>
      </w:r>
      <w:r w:rsidRPr="00D339F4">
        <w:t xml:space="preserve"> = 0). When these HRUs are present, however, the origin itself is a kink-point where the slope abruptly jumps from unity to 1-</w:t>
      </w:r>
      <w:r w:rsidRPr="00D339F4">
        <w:rPr>
          <w:i/>
          <w:iCs/>
        </w:rPr>
        <w:t>a</w:t>
      </w:r>
      <w:r w:rsidRPr="00D339F4">
        <w:rPr>
          <w:vertAlign w:val="subscript"/>
        </w:rPr>
        <w:t>0</w:t>
      </w:r>
      <w:r w:rsidRPr="00D339F4">
        <w:t>.</w:t>
      </w:r>
    </w:p>
    <w:p w:rsidR="00D339F4" w:rsidRPr="00D339F4" w:rsidRDefault="00D339F4" w:rsidP="00D339F4">
      <w:pPr>
        <w:spacing w:line="480" w:lineRule="auto"/>
        <w:jc w:val="center"/>
        <w:rPr>
          <w:rFonts w:eastAsia="Calibri"/>
          <w:szCs w:val="22"/>
        </w:rPr>
      </w:pPr>
      <w:r w:rsidRPr="00D339F4">
        <w:rPr>
          <w:rFonts w:eastAsia="Calibri"/>
          <w:noProof/>
          <w:szCs w:val="22"/>
        </w:rPr>
        <w:drawing>
          <wp:inline distT="0" distB="0" distL="0" distR="0" wp14:anchorId="4F324AD1" wp14:editId="576D0E10">
            <wp:extent cx="3348000" cy="1926000"/>
            <wp:effectExtent l="0" t="0" r="0" b="0"/>
            <wp:docPr id="24" name="Picture 3" descr="Discrete IaF.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rete IaF.emf"/>
                    <pic:cNvPicPr/>
                  </pic:nvPicPr>
                  <pic:blipFill>
                    <a:blip r:embed="rId28" cstate="print"/>
                    <a:stretch>
                      <a:fillRect/>
                    </a:stretch>
                  </pic:blipFill>
                  <pic:spPr>
                    <a:xfrm>
                      <a:off x="0" y="0"/>
                      <a:ext cx="3348000" cy="1926000"/>
                    </a:xfrm>
                    <a:prstGeom prst="rect">
                      <a:avLst/>
                    </a:prstGeom>
                  </pic:spPr>
                </pic:pic>
              </a:graphicData>
            </a:graphic>
          </wp:inline>
        </w:drawing>
      </w:r>
    </w:p>
    <w:p w:rsidR="00D339F4" w:rsidRPr="004F00CE" w:rsidRDefault="00D339F4" w:rsidP="00DF477B">
      <w:pPr>
        <w:spacing w:after="480"/>
        <w:rPr>
          <w:rFonts w:ascii="Arial" w:eastAsia="Calibri" w:hAnsi="Arial" w:cs="Arial"/>
          <w:sz w:val="18"/>
          <w:szCs w:val="18"/>
        </w:rPr>
      </w:pPr>
      <w:bookmarkStart w:id="40" w:name="_Ref421766735"/>
      <w:bookmarkStart w:id="41" w:name="_Toc481390024"/>
      <w:r w:rsidRPr="004F00CE">
        <w:rPr>
          <w:rFonts w:ascii="Arial" w:eastAsia="Calibri" w:hAnsi="Arial" w:cs="Arial"/>
          <w:b/>
          <w:bCs/>
          <w:sz w:val="18"/>
          <w:szCs w:val="18"/>
        </w:rPr>
        <w:t xml:space="preserve">Figure </w:t>
      </w:r>
      <w:r w:rsidR="00B615A2">
        <w:rPr>
          <w:rFonts w:ascii="Arial" w:eastAsia="Calibri" w:hAnsi="Arial" w:cs="Arial"/>
          <w:b/>
          <w:bCs/>
          <w:noProof/>
          <w:sz w:val="18"/>
          <w:szCs w:val="18"/>
        </w:rPr>
        <w:t>4</w:t>
      </w:r>
      <w:bookmarkEnd w:id="40"/>
      <w:r w:rsidRPr="004F00CE">
        <w:rPr>
          <w:rFonts w:ascii="Arial" w:eastAsia="Calibri" w:hAnsi="Arial" w:cs="Arial"/>
          <w:b/>
          <w:bCs/>
          <w:sz w:val="18"/>
          <w:szCs w:val="18"/>
        </w:rPr>
        <w:t>.</w:t>
      </w:r>
      <w:r w:rsidRPr="004F00CE">
        <w:rPr>
          <w:rFonts w:ascii="Arial" w:eastAsia="Calibri" w:hAnsi="Arial" w:cs="Arial"/>
          <w:sz w:val="18"/>
          <w:szCs w:val="18"/>
        </w:rPr>
        <w:t xml:space="preserve"> Variation of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aF</w:t>
      </w:r>
      <w:r w:rsidRPr="004F00CE">
        <w:rPr>
          <w:rFonts w:ascii="Arial" w:eastAsia="Calibri" w:hAnsi="Arial" w:cs="Arial"/>
          <w:sz w:val="18"/>
          <w:szCs w:val="18"/>
        </w:rPr>
        <w:t xml:space="preserve"> [eqs.</w:t>
      </w:r>
      <w:r w:rsidR="00B615A2" w:rsidRPr="00B615A2">
        <w:rPr>
          <w:rFonts w:ascii="Arial" w:eastAsia="Calibri" w:hAnsi="Arial" w:cs="Arial"/>
          <w:sz w:val="18"/>
          <w:szCs w:val="18"/>
        </w:rPr>
        <w:t>(14)</w:t>
      </w:r>
      <w:r w:rsidRPr="004F00CE">
        <w:rPr>
          <w:rFonts w:ascii="Arial" w:eastAsia="Calibri" w:hAnsi="Arial" w:cs="Arial"/>
          <w:sz w:val="18"/>
          <w:szCs w:val="18"/>
        </w:rPr>
        <w:t xml:space="preserve"> and </w:t>
      </w:r>
      <w:r w:rsidR="00B615A2" w:rsidRPr="00B615A2">
        <w:rPr>
          <w:rFonts w:ascii="Arial" w:eastAsia="Calibri" w:hAnsi="Arial" w:cs="Arial"/>
          <w:sz w:val="18"/>
          <w:szCs w:val="18"/>
        </w:rPr>
        <w:t>(15)</w:t>
      </w:r>
      <w:r w:rsidRPr="004F00CE">
        <w:rPr>
          <w:rFonts w:ascii="Arial" w:eastAsia="Calibri" w:hAnsi="Arial" w:cs="Arial"/>
          <w:sz w:val="18"/>
          <w:szCs w:val="18"/>
        </w:rPr>
        <w:t xml:space="preserve">] with </w:t>
      </w:r>
      <w:r w:rsidRPr="004F00CE">
        <w:rPr>
          <w:rFonts w:ascii="Arial" w:eastAsia="Calibri" w:hAnsi="Arial" w:cs="Arial"/>
          <w:i/>
          <w:iCs/>
          <w:sz w:val="18"/>
          <w:szCs w:val="18"/>
        </w:rPr>
        <w:t>P</w:t>
      </w:r>
      <w:r w:rsidRPr="004F00CE">
        <w:rPr>
          <w:rFonts w:ascii="Arial" w:eastAsia="Calibri" w:hAnsi="Arial" w:cs="Arial"/>
          <w:sz w:val="18"/>
          <w:szCs w:val="18"/>
        </w:rPr>
        <w:t xml:space="preserve"> for the scenario presented in </w:t>
      </w:r>
      <w:r w:rsidR="00B615A2" w:rsidRPr="00B615A2">
        <w:rPr>
          <w:rFonts w:ascii="Arial" w:eastAsia="Calibri" w:hAnsi="Arial" w:cs="Arial"/>
          <w:sz w:val="18"/>
          <w:szCs w:val="18"/>
        </w:rPr>
        <w:t>Figure 3</w:t>
      </w:r>
      <w:r w:rsidRPr="004F00CE">
        <w:rPr>
          <w:rFonts w:ascii="Arial" w:eastAsia="Calibri" w:hAnsi="Arial" w:cs="Arial"/>
          <w:sz w:val="18"/>
          <w:szCs w:val="18"/>
        </w:rPr>
        <w:t>.</w:t>
      </w:r>
      <w:bookmarkEnd w:id="41"/>
    </w:p>
    <w:p w:rsidR="00174431" w:rsidRPr="00D339F4" w:rsidRDefault="00D339F4" w:rsidP="00587EFA">
      <w:pPr>
        <w:pStyle w:val="NormalNew"/>
      </w:pPr>
      <w:r w:rsidRPr="00D339F4">
        <w:t xml:space="preserve">The analysis presented so far represents a discrete case where each HRU is homogeneous and has a finite area. The values of </w:t>
      </w:r>
      <w:r w:rsidRPr="00D339F4">
        <w:rPr>
          <w:i/>
          <w:iCs/>
        </w:rPr>
        <w:t>I</w:t>
      </w:r>
      <w:r w:rsidRPr="00D339F4">
        <w:rPr>
          <w:i/>
          <w:iCs/>
          <w:vertAlign w:val="subscript"/>
        </w:rPr>
        <w:t>ai</w:t>
      </w:r>
      <w:r w:rsidRPr="00D339F4">
        <w:t xml:space="preserve"> vary discontinuously across the HRUs. Their areal distribution can be represented by a plot of</w:t>
      </w:r>
      <w:r w:rsidRPr="00D339F4">
        <w:rPr>
          <w:i/>
          <w:iCs/>
        </w:rPr>
        <w:t xml:space="preserve"> a</w:t>
      </w:r>
      <w:r w:rsidRPr="00D339F4">
        <w:rPr>
          <w:i/>
          <w:iCs/>
          <w:vertAlign w:val="subscript"/>
        </w:rPr>
        <w:t>i</w:t>
      </w:r>
      <w:r w:rsidRPr="00D339F4">
        <w:t xml:space="preserve"> vs.</w:t>
      </w:r>
      <w:r w:rsidRPr="00D339F4">
        <w:rPr>
          <w:i/>
          <w:iCs/>
        </w:rPr>
        <w:t xml:space="preserve"> I</w:t>
      </w:r>
      <w:r w:rsidRPr="00D339F4">
        <w:rPr>
          <w:i/>
          <w:iCs/>
          <w:vertAlign w:val="subscript"/>
        </w:rPr>
        <w:t>a</w:t>
      </w:r>
      <w:r w:rsidRPr="00D339F4">
        <w:t xml:space="preserve"> [</w:t>
      </w:r>
      <w:r w:rsidR="00B615A2" w:rsidRPr="00B615A2">
        <w:t>Figure 5</w:t>
      </w:r>
      <w:r w:rsidRPr="00D339F4">
        <w:t xml:space="preserve">(a)]. The smaller the area of HRUs, the more numerous they are, and the more accurate is the representation of the heterogeneity within the watershed. The most ideal representation would occur when the HRUs shrink to points. Then the </w:t>
      </w:r>
      <w:r w:rsidR="003715C1">
        <w:t>values</w:t>
      </w:r>
      <w:r w:rsidRPr="00D339F4">
        <w:t xml:space="preserve"> of </w:t>
      </w:r>
      <w:r w:rsidRPr="00D339F4">
        <w:rPr>
          <w:i/>
          <w:iCs/>
        </w:rPr>
        <w:t>I</w:t>
      </w:r>
      <w:r w:rsidRPr="00D339F4">
        <w:rPr>
          <w:i/>
          <w:iCs/>
          <w:vertAlign w:val="subscript"/>
        </w:rPr>
        <w:t>ai</w:t>
      </w:r>
      <w:r w:rsidRPr="00D339F4">
        <w:t xml:space="preserve"> within the watershed vary continuously and therefore can be represented by a probabilistic distribution of areal occurrence [</w:t>
      </w:r>
      <w:r w:rsidR="00B615A2" w:rsidRPr="00B615A2">
        <w:t>Figure 5</w:t>
      </w:r>
      <w:r w:rsidRPr="00D339F4">
        <w:t>(b)]. It is impractical to characterize the watershed at such fine scale, but it is worth understanding the properties of the initial abstraction at the finest resolution first, and then making assumptions or simplifications later to suit the practical needs.</w:t>
      </w:r>
    </w:p>
    <w:p w:rsidR="00D339F4" w:rsidRPr="00D339F4" w:rsidRDefault="00D339F4" w:rsidP="00D339F4">
      <w:pPr>
        <w:spacing w:line="480" w:lineRule="auto"/>
        <w:jc w:val="center"/>
        <w:rPr>
          <w:rFonts w:eastAsia="Calibri"/>
          <w:szCs w:val="22"/>
        </w:rPr>
      </w:pPr>
      <w:r w:rsidRPr="00D339F4">
        <w:rPr>
          <w:rFonts w:eastAsia="Calibri"/>
          <w:noProof/>
          <w:szCs w:val="22"/>
        </w:rPr>
        <w:lastRenderedPageBreak/>
        <w:drawing>
          <wp:inline distT="0" distB="0" distL="0" distR="0" wp14:anchorId="0DC1695C" wp14:editId="4FF3B754">
            <wp:extent cx="4353840" cy="1415520"/>
            <wp:effectExtent l="0" t="0" r="0" b="0"/>
            <wp:docPr id="25" name="Picture 5" descr="Cont Dist Distributions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 Dist Distributions2.emf"/>
                    <pic:cNvPicPr/>
                  </pic:nvPicPr>
                  <pic:blipFill>
                    <a:blip r:embed="rId29" cstate="print"/>
                    <a:stretch>
                      <a:fillRect/>
                    </a:stretch>
                  </pic:blipFill>
                  <pic:spPr>
                    <a:xfrm>
                      <a:off x="0" y="0"/>
                      <a:ext cx="4353840" cy="1415520"/>
                    </a:xfrm>
                    <a:prstGeom prst="rect">
                      <a:avLst/>
                    </a:prstGeom>
                  </pic:spPr>
                </pic:pic>
              </a:graphicData>
            </a:graphic>
          </wp:inline>
        </w:drawing>
      </w:r>
    </w:p>
    <w:p w:rsidR="00174431" w:rsidRPr="004F00CE" w:rsidRDefault="00D339F4" w:rsidP="00174431">
      <w:pPr>
        <w:spacing w:after="480"/>
        <w:rPr>
          <w:rFonts w:ascii="Arial" w:eastAsia="Calibri" w:hAnsi="Arial" w:cs="Arial"/>
          <w:sz w:val="18"/>
          <w:szCs w:val="18"/>
        </w:rPr>
      </w:pPr>
      <w:bookmarkStart w:id="42" w:name="_Ref421754288"/>
      <w:bookmarkStart w:id="43" w:name="_Toc481390025"/>
      <w:r w:rsidRPr="004F00CE">
        <w:rPr>
          <w:rFonts w:ascii="Arial" w:eastAsia="Calibri" w:hAnsi="Arial" w:cs="Arial"/>
          <w:b/>
          <w:bCs/>
          <w:sz w:val="18"/>
          <w:szCs w:val="18"/>
        </w:rPr>
        <w:t xml:space="preserve">Figure </w:t>
      </w:r>
      <w:r w:rsidR="00B615A2">
        <w:rPr>
          <w:rFonts w:ascii="Arial" w:eastAsia="Calibri" w:hAnsi="Arial" w:cs="Arial"/>
          <w:b/>
          <w:bCs/>
          <w:noProof/>
          <w:sz w:val="18"/>
          <w:szCs w:val="18"/>
        </w:rPr>
        <w:t>5</w:t>
      </w:r>
      <w:bookmarkEnd w:id="42"/>
      <w:r w:rsidRPr="004F00CE">
        <w:rPr>
          <w:rFonts w:ascii="Arial" w:eastAsia="Calibri" w:hAnsi="Arial" w:cs="Arial"/>
          <w:b/>
          <w:bCs/>
          <w:sz w:val="18"/>
          <w:szCs w:val="18"/>
        </w:rPr>
        <w:t>.</w:t>
      </w:r>
      <w:r w:rsidRPr="004F00CE">
        <w:rPr>
          <w:rFonts w:ascii="Arial" w:eastAsia="Calibri" w:hAnsi="Arial" w:cs="Arial"/>
          <w:sz w:val="18"/>
          <w:szCs w:val="18"/>
        </w:rPr>
        <w:t xml:space="preserve"> Representing areal distribution of </w:t>
      </w:r>
      <w:r w:rsidRPr="004F00CE">
        <w:rPr>
          <w:rFonts w:ascii="Arial" w:eastAsia="Calibri" w:hAnsi="Arial" w:cs="Arial"/>
          <w:i/>
          <w:sz w:val="18"/>
          <w:szCs w:val="18"/>
        </w:rPr>
        <w:t>I</w:t>
      </w:r>
      <w:r w:rsidRPr="004F00CE">
        <w:rPr>
          <w:rFonts w:ascii="Arial" w:eastAsia="Calibri" w:hAnsi="Arial" w:cs="Arial"/>
          <w:i/>
          <w:sz w:val="18"/>
          <w:szCs w:val="18"/>
          <w:vertAlign w:val="subscript"/>
        </w:rPr>
        <w:t>a</w:t>
      </w:r>
      <w:r w:rsidRPr="004F00CE">
        <w:rPr>
          <w:rFonts w:ascii="Arial" w:eastAsia="Calibri" w:hAnsi="Arial" w:cs="Arial"/>
          <w:sz w:val="18"/>
          <w:szCs w:val="18"/>
        </w:rPr>
        <w:t xml:space="preserve"> within a watershed (a) discrete case (b) continuous case.</w:t>
      </w:r>
      <w:bookmarkEnd w:id="43"/>
    </w:p>
    <w:p w:rsidR="00331E3F" w:rsidRPr="00D339F4" w:rsidRDefault="00D339F4" w:rsidP="00331E3F">
      <w:pPr>
        <w:pStyle w:val="NormalNew"/>
      </w:pPr>
      <w:r w:rsidRPr="00D339F4">
        <w:t xml:space="preserve">For the case of a continuous distribution of </w:t>
      </w:r>
      <w:r w:rsidRPr="00D339F4">
        <w:rPr>
          <w:i/>
        </w:rPr>
        <w:t>I</w:t>
      </w:r>
      <w:r w:rsidRPr="00D339F4">
        <w:rPr>
          <w:i/>
          <w:vertAlign w:val="subscript"/>
        </w:rPr>
        <w:t>a</w:t>
      </w:r>
      <w:r w:rsidRPr="00D339F4">
        <w:t xml:space="preserve">, eq. </w:t>
      </w:r>
      <w:r w:rsidR="00B615A2" w:rsidRPr="00B615A2">
        <w:t>(14)</w:t>
      </w:r>
      <w:r w:rsidRPr="00D339F4">
        <w:t xml:space="preserve"> takes the form</w:t>
      </w:r>
    </w:p>
    <w:p w:rsidR="00D339F4" w:rsidRPr="00D339F4" w:rsidRDefault="00D339F4" w:rsidP="00174431">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30"/>
          <w:szCs w:val="22"/>
        </w:rPr>
        <w:pict>
          <v:shape id="_x0000_i1042" type="#_x0000_t75" style="width:167.4pt;height:36.6pt">
            <v:imagedata r:id="rId30" o:title=""/>
          </v:shape>
        </w:pict>
      </w:r>
      <w:r w:rsidRPr="00D339F4">
        <w:rPr>
          <w:rFonts w:eastAsia="Calibri"/>
          <w:szCs w:val="22"/>
        </w:rPr>
        <w:t xml:space="preserve"> </w:t>
      </w:r>
      <w:r w:rsidRPr="00D339F4">
        <w:rPr>
          <w:rFonts w:eastAsia="Calibri"/>
          <w:szCs w:val="22"/>
        </w:rPr>
        <w:tab/>
      </w:r>
      <w:bookmarkStart w:id="44" w:name="ZEqnNum511887"/>
      <w:r w:rsidRPr="00174431">
        <w:rPr>
          <w:rFonts w:eastAsia="Calibri"/>
          <w:sz w:val="20"/>
          <w:szCs w:val="20"/>
        </w:rPr>
        <w:t>(</w:t>
      </w:r>
      <w:r w:rsidR="00B615A2">
        <w:rPr>
          <w:rFonts w:eastAsia="Calibri"/>
          <w:noProof/>
          <w:sz w:val="20"/>
          <w:szCs w:val="20"/>
        </w:rPr>
        <w:t>16</w:t>
      </w:r>
      <w:r w:rsidRPr="00174431">
        <w:rPr>
          <w:rFonts w:eastAsia="Calibri"/>
          <w:sz w:val="20"/>
          <w:szCs w:val="20"/>
        </w:rPr>
        <w:t>)</w:t>
      </w:r>
      <w:bookmarkEnd w:id="44"/>
    </w:p>
    <w:p w:rsidR="00D339F4" w:rsidRPr="00D339F4" w:rsidRDefault="00D339F4" w:rsidP="00331E3F">
      <w:pPr>
        <w:pStyle w:val="NormalNew"/>
      </w:pPr>
      <w:r w:rsidRPr="00D339F4">
        <w:t xml:space="preserve">where </w:t>
      </w:r>
      <w:r w:rsidRPr="00D339F4">
        <w:rPr>
          <w:i/>
          <w:iCs/>
        </w:rPr>
        <w:t>a</w:t>
      </w:r>
      <w:r w:rsidRPr="00D339F4">
        <w:t>(</w:t>
      </w:r>
      <w:r w:rsidRPr="00D339F4">
        <w:rPr>
          <w:i/>
          <w:iCs/>
        </w:rPr>
        <w:t>I</w:t>
      </w:r>
      <w:r w:rsidRPr="00D339F4">
        <w:rPr>
          <w:i/>
          <w:iCs/>
          <w:vertAlign w:val="subscript"/>
        </w:rPr>
        <w:t>a</w:t>
      </w:r>
      <w:r w:rsidRPr="00D339F4">
        <w:t xml:space="preserve">) is the probability density function of areal occurrence of </w:t>
      </w:r>
      <w:r w:rsidRPr="00D339F4">
        <w:rPr>
          <w:i/>
          <w:iCs/>
        </w:rPr>
        <w:t>I</w:t>
      </w:r>
      <w:r w:rsidRPr="00D339F4">
        <w:rPr>
          <w:i/>
          <w:iCs/>
          <w:vertAlign w:val="subscript"/>
        </w:rPr>
        <w:t>a</w:t>
      </w:r>
      <w:r w:rsidRPr="00D339F4">
        <w:t xml:space="preserve">. The fractional area with initial abstraction = </w:t>
      </w:r>
      <w:r w:rsidRPr="00D339F4">
        <w:rPr>
          <w:i/>
          <w:iCs/>
        </w:rPr>
        <w:t>I</w:t>
      </w:r>
      <w:r w:rsidRPr="00D339F4">
        <w:rPr>
          <w:i/>
          <w:iCs/>
          <w:vertAlign w:val="subscript"/>
        </w:rPr>
        <w:t>a</w:t>
      </w:r>
      <w:r w:rsidRPr="00D339F4">
        <w:t xml:space="preserve"> is given by </w:t>
      </w:r>
      <w:r w:rsidRPr="00D339F4">
        <w:rPr>
          <w:i/>
          <w:iCs/>
        </w:rPr>
        <w:t>a</w:t>
      </w:r>
      <w:r w:rsidRPr="00D339F4">
        <w:t>(</w:t>
      </w:r>
      <w:r w:rsidRPr="00D339F4">
        <w:rPr>
          <w:i/>
          <w:iCs/>
        </w:rPr>
        <w:t>I</w:t>
      </w:r>
      <w:r w:rsidRPr="00D339F4">
        <w:rPr>
          <w:i/>
          <w:iCs/>
          <w:vertAlign w:val="subscript"/>
        </w:rPr>
        <w:t>a</w:t>
      </w:r>
      <w:r w:rsidRPr="00D339F4">
        <w:t xml:space="preserve">) </w:t>
      </w:r>
      <w:r w:rsidRPr="00D339F4">
        <w:rPr>
          <w:i/>
          <w:iCs/>
        </w:rPr>
        <w:t>dI</w:t>
      </w:r>
      <w:r w:rsidRPr="00D339F4">
        <w:rPr>
          <w:i/>
          <w:iCs/>
          <w:vertAlign w:val="subscript"/>
        </w:rPr>
        <w:t>a</w:t>
      </w:r>
      <w:r w:rsidRPr="00D339F4">
        <w:t xml:space="preserve">. The upper limit of the integrals is set to </w:t>
      </w:r>
      <w:r w:rsidRPr="00D339F4">
        <w:rPr>
          <w:i/>
          <w:iCs/>
        </w:rPr>
        <w:t>P</w:t>
      </w:r>
      <w:r w:rsidRPr="00D339F4">
        <w:t xml:space="preserve"> because the last</w:t>
      </w:r>
      <w:r w:rsidRPr="00D339F4">
        <w:rPr>
          <w:i/>
          <w:iCs/>
        </w:rPr>
        <w:t xml:space="preserve"> </w:t>
      </w:r>
      <w:r w:rsidRPr="00D339F4">
        <w:t xml:space="preserve">initial abstraction to completely fill up would be equal to </w:t>
      </w:r>
      <w:r w:rsidRPr="00D339F4">
        <w:rPr>
          <w:i/>
          <w:iCs/>
        </w:rPr>
        <w:t>P</w:t>
      </w:r>
      <w:r w:rsidRPr="00D339F4">
        <w:t xml:space="preserve">. The areal average of total initial abstraction, </w:t>
      </w:r>
      <w:r w:rsidRPr="00D339F4">
        <w:rPr>
          <w:i/>
          <w:iCs/>
        </w:rPr>
        <w:t>I</w:t>
      </w:r>
      <w:r w:rsidRPr="00D339F4">
        <w:rPr>
          <w:i/>
          <w:iCs/>
          <w:vertAlign w:val="subscript"/>
        </w:rPr>
        <w:t>aT</w:t>
      </w:r>
      <w:r w:rsidRPr="00D339F4">
        <w:t>, is given by</w:t>
      </w:r>
    </w:p>
    <w:p w:rsidR="00D339F4" w:rsidRPr="00D339F4" w:rsidRDefault="00D339F4" w:rsidP="00174431">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30"/>
          <w:szCs w:val="22"/>
        </w:rPr>
        <w:pict>
          <v:shape id="_x0000_i1043" type="#_x0000_t75" style="width:87pt;height:39pt">
            <v:imagedata r:id="rId31" o:title=""/>
          </v:shape>
        </w:pict>
      </w:r>
      <w:r w:rsidRPr="00D339F4">
        <w:rPr>
          <w:rFonts w:eastAsia="Calibri"/>
          <w:szCs w:val="22"/>
        </w:rPr>
        <w:t xml:space="preserve"> </w:t>
      </w:r>
      <w:r w:rsidRPr="00D339F4">
        <w:rPr>
          <w:rFonts w:eastAsia="Calibri"/>
          <w:szCs w:val="22"/>
        </w:rPr>
        <w:tab/>
      </w:r>
      <w:bookmarkStart w:id="45" w:name="ZEqnNum460677"/>
      <w:r w:rsidRPr="00174431">
        <w:rPr>
          <w:rFonts w:eastAsia="Calibri"/>
          <w:sz w:val="20"/>
          <w:szCs w:val="20"/>
        </w:rPr>
        <w:t>(</w:t>
      </w:r>
      <w:r w:rsidR="00B615A2">
        <w:rPr>
          <w:rFonts w:eastAsia="Calibri"/>
          <w:noProof/>
          <w:sz w:val="20"/>
          <w:szCs w:val="20"/>
        </w:rPr>
        <w:t>17</w:t>
      </w:r>
      <w:r w:rsidRPr="00174431">
        <w:rPr>
          <w:rFonts w:eastAsia="Calibri"/>
          <w:sz w:val="20"/>
          <w:szCs w:val="20"/>
        </w:rPr>
        <w:t>)</w:t>
      </w:r>
      <w:bookmarkEnd w:id="45"/>
    </w:p>
    <w:p w:rsidR="00D339F4" w:rsidRPr="00D339F4" w:rsidRDefault="00D339F4" w:rsidP="00331E3F">
      <w:pPr>
        <w:pStyle w:val="NormalNew"/>
        <w:rPr>
          <w:iCs/>
        </w:rPr>
      </w:pPr>
      <w:r w:rsidRPr="00D339F4">
        <w:t>where</w:t>
      </w:r>
      <w:r w:rsidRPr="00D339F4">
        <w:rPr>
          <w:rFonts w:eastAsia="+mn-ea"/>
          <w:i/>
          <w:iCs/>
          <w:color w:val="C00000"/>
          <w:kern w:val="24"/>
          <w:sz w:val="40"/>
          <w:szCs w:val="40"/>
        </w:rPr>
        <w:t xml:space="preserve"> </w:t>
      </w:r>
      <w:r w:rsidRPr="00D339F4">
        <w:rPr>
          <w:i/>
          <w:iCs/>
        </w:rPr>
        <w:t>I</w:t>
      </w:r>
      <w:r w:rsidRPr="00D339F4">
        <w:rPr>
          <w:i/>
          <w:iCs/>
          <w:vertAlign w:val="subscript"/>
        </w:rPr>
        <w:t>a</w:t>
      </w:r>
      <w:r w:rsidRPr="00D339F4">
        <w:rPr>
          <w:vertAlign w:val="subscript"/>
        </w:rPr>
        <w:t>,max</w:t>
      </w:r>
      <w:r w:rsidRPr="00D339F4">
        <w:t xml:space="preserve"> is the maximum value of </w:t>
      </w:r>
      <w:r w:rsidRPr="00D339F4">
        <w:rPr>
          <w:i/>
          <w:iCs/>
        </w:rPr>
        <w:t>I</w:t>
      </w:r>
      <w:r w:rsidRPr="00D339F4">
        <w:rPr>
          <w:i/>
          <w:iCs/>
          <w:vertAlign w:val="subscript"/>
        </w:rPr>
        <w:t>a</w:t>
      </w:r>
      <w:r w:rsidRPr="00D339F4">
        <w:t xml:space="preserve"> within the watershed. Thus, </w:t>
      </w:r>
      <w:r w:rsidRPr="00D339F4">
        <w:rPr>
          <w:i/>
          <w:iCs/>
        </w:rPr>
        <w:t>I</w:t>
      </w:r>
      <w:r w:rsidRPr="00D339F4">
        <w:rPr>
          <w:i/>
          <w:iCs/>
          <w:vertAlign w:val="subscript"/>
        </w:rPr>
        <w:t>aT</w:t>
      </w:r>
      <w:r w:rsidRPr="00D339F4">
        <w:t xml:space="preserve"> is equal to the mean of the distribution [</w:t>
      </w:r>
      <w:r w:rsidR="00B615A2" w:rsidRPr="00B615A2">
        <w:t>Figure 5</w:t>
      </w:r>
      <w:r w:rsidRPr="00D339F4">
        <w:t xml:space="preserve">(b)]. Eq. </w:t>
      </w:r>
      <w:r w:rsidR="00B615A2" w:rsidRPr="00B615A2">
        <w:rPr>
          <w:iCs/>
        </w:rPr>
        <w:t>(15)</w:t>
      </w:r>
      <w:r w:rsidRPr="00D339F4">
        <w:rPr>
          <w:iCs/>
        </w:rPr>
        <w:t xml:space="preserve"> then becomes</w:t>
      </w:r>
    </w:p>
    <w:p w:rsidR="00D339F4" w:rsidRPr="00D339F4" w:rsidRDefault="00D339F4" w:rsidP="00174431">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32"/>
          <w:szCs w:val="22"/>
        </w:rPr>
        <w:pict>
          <v:shape id="_x0000_i1044" type="#_x0000_t75" style="width:104.4pt;height:39pt">
            <v:imagedata r:id="rId32" o:title=""/>
          </v:shape>
        </w:pict>
      </w:r>
      <w:r w:rsidRPr="00D339F4">
        <w:rPr>
          <w:rFonts w:eastAsia="Calibri"/>
          <w:szCs w:val="22"/>
        </w:rPr>
        <w:t xml:space="preserve"> </w:t>
      </w:r>
      <w:r w:rsidRPr="00D339F4">
        <w:rPr>
          <w:rFonts w:eastAsia="Calibri"/>
          <w:szCs w:val="22"/>
        </w:rPr>
        <w:tab/>
      </w:r>
      <w:r w:rsidRPr="00174431">
        <w:rPr>
          <w:rFonts w:eastAsia="Calibri"/>
          <w:sz w:val="20"/>
          <w:szCs w:val="20"/>
        </w:rPr>
        <w:t>(</w:t>
      </w:r>
      <w:r w:rsidR="00B615A2">
        <w:rPr>
          <w:rFonts w:eastAsia="Calibri"/>
          <w:noProof/>
          <w:sz w:val="20"/>
          <w:szCs w:val="20"/>
        </w:rPr>
        <w:t>18</w:t>
      </w:r>
      <w:r w:rsidRPr="00174431">
        <w:rPr>
          <w:rFonts w:eastAsia="Calibri"/>
          <w:sz w:val="20"/>
          <w:szCs w:val="20"/>
        </w:rPr>
        <w:t>)</w:t>
      </w:r>
    </w:p>
    <w:p w:rsidR="00D339F4" w:rsidRPr="00D339F4" w:rsidRDefault="00D339F4" w:rsidP="00D339F4">
      <w:pPr>
        <w:spacing w:line="480" w:lineRule="auto"/>
        <w:jc w:val="center"/>
        <w:rPr>
          <w:rFonts w:eastAsia="Calibri"/>
          <w:szCs w:val="22"/>
        </w:rPr>
      </w:pPr>
      <w:r w:rsidRPr="00D339F4">
        <w:rPr>
          <w:rFonts w:eastAsia="Calibri"/>
          <w:noProof/>
          <w:szCs w:val="22"/>
        </w:rPr>
        <w:lastRenderedPageBreak/>
        <w:drawing>
          <wp:inline distT="0" distB="0" distL="0" distR="0" wp14:anchorId="53CCE13D" wp14:editId="75E9C530">
            <wp:extent cx="3275640" cy="2447640"/>
            <wp:effectExtent l="0" t="0" r="1270" b="0"/>
            <wp:docPr id="26" name="Picture 15" descr="iaF vs P Genera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F vs P General.EMF"/>
                    <pic:cNvPicPr/>
                  </pic:nvPicPr>
                  <pic:blipFill>
                    <a:blip r:embed="rId33" cstate="print"/>
                    <a:stretch>
                      <a:fillRect/>
                    </a:stretch>
                  </pic:blipFill>
                  <pic:spPr>
                    <a:xfrm>
                      <a:off x="0" y="0"/>
                      <a:ext cx="3275640" cy="2447640"/>
                    </a:xfrm>
                    <a:prstGeom prst="rect">
                      <a:avLst/>
                    </a:prstGeom>
                  </pic:spPr>
                </pic:pic>
              </a:graphicData>
            </a:graphic>
          </wp:inline>
        </w:drawing>
      </w:r>
    </w:p>
    <w:p w:rsidR="00D339F4" w:rsidRPr="004F00CE" w:rsidRDefault="00D339F4" w:rsidP="00DF477B">
      <w:pPr>
        <w:spacing w:after="480"/>
        <w:rPr>
          <w:rFonts w:ascii="Arial" w:eastAsia="Calibri" w:hAnsi="Arial" w:cs="Arial"/>
          <w:sz w:val="18"/>
          <w:szCs w:val="18"/>
        </w:rPr>
      </w:pPr>
      <w:bookmarkStart w:id="46" w:name="_Ref421767351"/>
      <w:bookmarkStart w:id="47" w:name="_Toc481390026"/>
      <w:r w:rsidRPr="004F00CE">
        <w:rPr>
          <w:rFonts w:ascii="Arial" w:eastAsia="Calibri" w:hAnsi="Arial" w:cs="Arial"/>
          <w:b/>
          <w:bCs/>
          <w:sz w:val="18"/>
          <w:szCs w:val="18"/>
        </w:rPr>
        <w:t xml:space="preserve">Figure </w:t>
      </w:r>
      <w:r w:rsidR="00B615A2">
        <w:rPr>
          <w:rFonts w:ascii="Arial" w:eastAsia="Calibri" w:hAnsi="Arial" w:cs="Arial"/>
          <w:b/>
          <w:bCs/>
          <w:noProof/>
          <w:sz w:val="18"/>
          <w:szCs w:val="18"/>
        </w:rPr>
        <w:t>6</w:t>
      </w:r>
      <w:bookmarkEnd w:id="46"/>
      <w:r w:rsidRPr="004F00CE">
        <w:rPr>
          <w:rFonts w:ascii="Arial" w:eastAsia="Calibri" w:hAnsi="Arial" w:cs="Arial"/>
          <w:b/>
          <w:bCs/>
          <w:sz w:val="18"/>
          <w:szCs w:val="18"/>
        </w:rPr>
        <w:t>.</w:t>
      </w:r>
      <w:r w:rsidRPr="004F00CE">
        <w:rPr>
          <w:rFonts w:ascii="Arial" w:eastAsia="Calibri" w:hAnsi="Arial" w:cs="Arial"/>
          <w:sz w:val="18"/>
          <w:szCs w:val="18"/>
        </w:rPr>
        <w:t xml:space="preserve"> Variation of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aF</w:t>
      </w:r>
      <w:r w:rsidRPr="004F00CE">
        <w:rPr>
          <w:rFonts w:ascii="Arial" w:eastAsia="Calibri" w:hAnsi="Arial" w:cs="Arial"/>
          <w:sz w:val="18"/>
          <w:szCs w:val="18"/>
        </w:rPr>
        <w:t xml:space="preserve"> with </w:t>
      </w:r>
      <w:r w:rsidRPr="004F00CE">
        <w:rPr>
          <w:rFonts w:ascii="Arial" w:eastAsia="Calibri" w:hAnsi="Arial" w:cs="Arial"/>
          <w:i/>
          <w:iCs/>
          <w:sz w:val="18"/>
          <w:szCs w:val="18"/>
        </w:rPr>
        <w:t>P</w:t>
      </w:r>
      <w:r w:rsidRPr="004F00CE">
        <w:rPr>
          <w:rFonts w:ascii="Arial" w:eastAsia="Calibri" w:hAnsi="Arial" w:cs="Arial"/>
          <w:sz w:val="18"/>
          <w:szCs w:val="18"/>
        </w:rPr>
        <w:t xml:space="preserve"> for a continuous distribution such as the one shown in </w:t>
      </w:r>
      <w:r w:rsidR="00B615A2" w:rsidRPr="00B615A2">
        <w:rPr>
          <w:rFonts w:ascii="Arial" w:eastAsia="Calibri" w:hAnsi="Arial" w:cs="Arial"/>
          <w:sz w:val="18"/>
          <w:szCs w:val="18"/>
        </w:rPr>
        <w:t>Figure 5</w:t>
      </w:r>
      <w:r w:rsidRPr="004F00CE">
        <w:rPr>
          <w:rFonts w:ascii="Arial" w:eastAsia="Calibri" w:hAnsi="Arial" w:cs="Arial"/>
          <w:sz w:val="18"/>
          <w:szCs w:val="18"/>
        </w:rPr>
        <w:t>(b)</w:t>
      </w:r>
      <w:bookmarkEnd w:id="47"/>
    </w:p>
    <w:p w:rsidR="00F01BFD" w:rsidRPr="00D339F4" w:rsidRDefault="00D339F4" w:rsidP="00F01BFD">
      <w:pPr>
        <w:pStyle w:val="NormalNew"/>
      </w:pPr>
      <w:r w:rsidRPr="00D339F4">
        <w:t>Unlike the discrete case, the slope of the</w:t>
      </w:r>
      <w:r w:rsidRPr="00D339F4">
        <w:rPr>
          <w:i/>
          <w:iCs/>
        </w:rPr>
        <w:t xml:space="preserve"> I</w:t>
      </w:r>
      <w:r w:rsidRPr="00D339F4">
        <w:rPr>
          <w:i/>
          <w:iCs/>
          <w:vertAlign w:val="subscript"/>
        </w:rPr>
        <w:t>aF</w:t>
      </w:r>
      <w:r w:rsidRPr="00D339F4">
        <w:t xml:space="preserve"> curve for the continuous case decreases smoothly with increasing </w:t>
      </w:r>
      <w:r w:rsidRPr="00D339F4">
        <w:rPr>
          <w:i/>
          <w:iCs/>
        </w:rPr>
        <w:t>P</w:t>
      </w:r>
      <w:r w:rsidRPr="00D339F4">
        <w:rPr>
          <w:iCs/>
        </w:rPr>
        <w:t xml:space="preserve"> (</w:t>
      </w:r>
      <w:r w:rsidR="00B615A2" w:rsidRPr="00B615A2">
        <w:t>Figure 6</w:t>
      </w:r>
      <w:r w:rsidRPr="00D339F4">
        <w:rPr>
          <w:iCs/>
        </w:rPr>
        <w:t>)</w:t>
      </w:r>
      <w:r w:rsidRPr="00D339F4">
        <w:t>. This is because the line segments in the discrete case (</w:t>
      </w:r>
      <w:r w:rsidR="00B615A2" w:rsidRPr="00B615A2">
        <w:t>Figure 4</w:t>
      </w:r>
      <w:r w:rsidRPr="00D339F4">
        <w:t xml:space="preserve">) shrink to points in the continuous case. It follows from eq. </w:t>
      </w:r>
      <w:r w:rsidR="00B615A2" w:rsidRPr="00B615A2">
        <w:t>(16)</w:t>
      </w:r>
      <w:r w:rsidRPr="00D339F4">
        <w:t xml:space="preserve"> that</w:t>
      </w:r>
    </w:p>
    <w:p w:rsidR="00D339F4" w:rsidRPr="00D339F4" w:rsidRDefault="00D339F4" w:rsidP="00174431">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64"/>
          <w:szCs w:val="22"/>
        </w:rPr>
        <w:pict>
          <v:shape id="_x0000_i1045" type="#_x0000_t75" style="width:63.6pt;height:71.4pt">
            <v:imagedata r:id="rId34" o:title=""/>
          </v:shape>
        </w:pict>
      </w:r>
      <w:r w:rsidRPr="00D339F4">
        <w:rPr>
          <w:rFonts w:eastAsia="Calibri"/>
          <w:szCs w:val="22"/>
        </w:rPr>
        <w:t xml:space="preserve"> </w:t>
      </w:r>
      <w:r w:rsidRPr="00D339F4">
        <w:rPr>
          <w:rFonts w:eastAsia="Calibri"/>
          <w:szCs w:val="22"/>
        </w:rPr>
        <w:tab/>
      </w:r>
      <w:bookmarkStart w:id="48" w:name="ZEqnNum270463"/>
      <w:r w:rsidRPr="00174431">
        <w:rPr>
          <w:rFonts w:eastAsia="Calibri"/>
          <w:sz w:val="20"/>
          <w:szCs w:val="20"/>
        </w:rPr>
        <w:t>(</w:t>
      </w:r>
      <w:r w:rsidR="00B615A2">
        <w:rPr>
          <w:rFonts w:eastAsia="Calibri"/>
          <w:noProof/>
          <w:sz w:val="20"/>
          <w:szCs w:val="20"/>
        </w:rPr>
        <w:t>19</w:t>
      </w:r>
      <w:r w:rsidRPr="00174431">
        <w:rPr>
          <w:rFonts w:eastAsia="Calibri"/>
          <w:sz w:val="20"/>
          <w:szCs w:val="20"/>
        </w:rPr>
        <w:t>)</w:t>
      </w:r>
      <w:bookmarkEnd w:id="48"/>
    </w:p>
    <w:p w:rsidR="00D339F4" w:rsidRPr="00D339F4" w:rsidRDefault="00D339F4" w:rsidP="00F01BFD">
      <w:pPr>
        <w:pStyle w:val="NormalNew"/>
      </w:pPr>
      <w:r w:rsidRPr="00D339F4">
        <w:t xml:space="preserve">Thus, the </w:t>
      </w:r>
      <w:r w:rsidRPr="00D339F4">
        <w:rPr>
          <w:i/>
          <w:iCs/>
        </w:rPr>
        <w:t>I</w:t>
      </w:r>
      <w:r w:rsidRPr="00D339F4">
        <w:rPr>
          <w:i/>
          <w:iCs/>
          <w:vertAlign w:val="subscript"/>
        </w:rPr>
        <w:t>aF</w:t>
      </w:r>
      <w:r w:rsidRPr="00D339F4">
        <w:t xml:space="preserve"> curve is bounded by a line of slope = 1 passing through the origin, and a line of slope = 0 with the intercept equal to </w:t>
      </w:r>
      <w:r w:rsidRPr="00D339F4">
        <w:rPr>
          <w:i/>
          <w:iCs/>
        </w:rPr>
        <w:t>I</w:t>
      </w:r>
      <w:r w:rsidRPr="00D339F4">
        <w:rPr>
          <w:i/>
          <w:iCs/>
          <w:vertAlign w:val="subscript"/>
        </w:rPr>
        <w:t>aT</w:t>
      </w:r>
      <w:r w:rsidRPr="00D339F4">
        <w:t xml:space="preserve"> (</w:t>
      </w:r>
      <w:r w:rsidR="00B615A2" w:rsidRPr="00B615A2">
        <w:t>Figure 6</w:t>
      </w:r>
      <w:r w:rsidRPr="00D339F4">
        <w:t xml:space="preserve">). The line of slope = 1 is referred to as the no-runoff line because along this line </w:t>
      </w:r>
      <w:r w:rsidRPr="00D339F4">
        <w:rPr>
          <w:i/>
          <w:iCs/>
        </w:rPr>
        <w:t>I</w:t>
      </w:r>
      <w:r w:rsidRPr="00D339F4">
        <w:rPr>
          <w:i/>
          <w:iCs/>
          <w:vertAlign w:val="subscript"/>
        </w:rPr>
        <w:t>aF</w:t>
      </w:r>
      <w:r w:rsidRPr="00D339F4">
        <w:t xml:space="preserve"> = </w:t>
      </w:r>
      <w:r w:rsidRPr="00D339F4">
        <w:rPr>
          <w:i/>
          <w:iCs/>
        </w:rPr>
        <w:t>P</w:t>
      </w:r>
      <w:r w:rsidRPr="00D339F4">
        <w:rPr>
          <w:iCs/>
        </w:rPr>
        <w:t xml:space="preserve">. </w:t>
      </w:r>
      <w:r w:rsidRPr="00D339F4">
        <w:t>When the whole watershed is represented by a single HRU, the</w:t>
      </w:r>
      <w:r w:rsidRPr="00D339F4">
        <w:rPr>
          <w:i/>
          <w:iCs/>
        </w:rPr>
        <w:t xml:space="preserve"> I</w:t>
      </w:r>
      <w:r w:rsidRPr="00D339F4">
        <w:rPr>
          <w:i/>
          <w:iCs/>
          <w:vertAlign w:val="subscript"/>
        </w:rPr>
        <w:t>aF</w:t>
      </w:r>
      <w:r w:rsidRPr="00D339F4">
        <w:t xml:space="preserve"> curve coincides with the no-runoff line until </w:t>
      </w:r>
      <w:r w:rsidRPr="00D339F4">
        <w:rPr>
          <w:i/>
          <w:iCs/>
        </w:rPr>
        <w:t>I</w:t>
      </w:r>
      <w:r w:rsidRPr="00D339F4">
        <w:rPr>
          <w:i/>
          <w:iCs/>
          <w:vertAlign w:val="subscript"/>
        </w:rPr>
        <w:t>aF</w:t>
      </w:r>
      <w:r w:rsidRPr="00D339F4">
        <w:t xml:space="preserve"> = </w:t>
      </w:r>
      <w:r w:rsidRPr="00D339F4">
        <w:rPr>
          <w:i/>
          <w:iCs/>
        </w:rPr>
        <w:t>I</w:t>
      </w:r>
      <w:r w:rsidRPr="00D339F4">
        <w:rPr>
          <w:i/>
          <w:iCs/>
          <w:vertAlign w:val="subscript"/>
        </w:rPr>
        <w:t>aT</w:t>
      </w:r>
      <w:r w:rsidRPr="00D339F4">
        <w:t xml:space="preserve">. A comparison of </w:t>
      </w:r>
      <w:r w:rsidR="00B615A2" w:rsidRPr="00B615A2">
        <w:t>Figure 6</w:t>
      </w:r>
      <w:r w:rsidRPr="00D339F4">
        <w:t xml:space="preserve"> to </w:t>
      </w:r>
      <w:r w:rsidR="00B615A2" w:rsidRPr="00B615A2">
        <w:t>Figure 2</w:t>
      </w:r>
      <w:r w:rsidRPr="00D339F4">
        <w:t xml:space="preserve">(c) and 2(d) strengthens the case that </w:t>
      </w:r>
      <w:r w:rsidRPr="00D339F4">
        <w:rPr>
          <w:i/>
          <w:iCs/>
        </w:rPr>
        <w:t>I</w:t>
      </w:r>
      <w:r w:rsidRPr="00D339F4">
        <w:rPr>
          <w:i/>
          <w:iCs/>
          <w:vertAlign w:val="subscript"/>
        </w:rPr>
        <w:t>aW</w:t>
      </w:r>
      <w:r w:rsidRPr="00D339F4">
        <w:t xml:space="preserve"> is equal to </w:t>
      </w:r>
      <w:r w:rsidRPr="00D339F4">
        <w:rPr>
          <w:i/>
          <w:iCs/>
        </w:rPr>
        <w:t>I</w:t>
      </w:r>
      <w:r w:rsidRPr="00D339F4">
        <w:rPr>
          <w:i/>
          <w:iCs/>
          <w:vertAlign w:val="subscript"/>
        </w:rPr>
        <w:t>aF</w:t>
      </w:r>
      <w:r w:rsidRPr="00D339F4">
        <w:t>.</w:t>
      </w:r>
    </w:p>
    <w:p w:rsidR="00D339F4" w:rsidRPr="00D339F4" w:rsidRDefault="00D339F4" w:rsidP="00D339F4">
      <w:pPr>
        <w:pStyle w:val="Heading3"/>
      </w:pPr>
      <w:bookmarkStart w:id="49" w:name="_Toc479817861"/>
      <w:bookmarkStart w:id="50" w:name="_Toc481658237"/>
      <w:r w:rsidRPr="00D339F4">
        <w:t>2.4. Variation of CN</w:t>
      </w:r>
      <w:r w:rsidRPr="00D339F4">
        <w:rPr>
          <w:i/>
          <w:vertAlign w:val="subscript"/>
        </w:rPr>
        <w:t>W</w:t>
      </w:r>
      <w:r w:rsidRPr="00D339F4">
        <w:t xml:space="preserve"> with </w:t>
      </w:r>
      <w:r w:rsidRPr="00D339F4">
        <w:rPr>
          <w:i/>
        </w:rPr>
        <w:t>P</w:t>
      </w:r>
      <w:bookmarkEnd w:id="49"/>
      <w:bookmarkEnd w:id="50"/>
    </w:p>
    <w:p w:rsidR="00D339F4" w:rsidRPr="00D339F4" w:rsidRDefault="00D339F4" w:rsidP="00587EFA">
      <w:pPr>
        <w:pStyle w:val="NormalNew"/>
        <w:spacing w:after="0"/>
      </w:pPr>
      <w:r w:rsidRPr="00D339F4">
        <w:t>Let us hypothesize that</w:t>
      </w:r>
      <w:r w:rsidRPr="00D339F4">
        <w:rPr>
          <w:i/>
          <w:iCs/>
        </w:rPr>
        <w:t xml:space="preserve"> I</w:t>
      </w:r>
      <w:r w:rsidRPr="00D339F4">
        <w:rPr>
          <w:i/>
          <w:iCs/>
          <w:vertAlign w:val="subscript"/>
        </w:rPr>
        <w:t>aW</w:t>
      </w:r>
      <w:r w:rsidRPr="00D339F4">
        <w:t xml:space="preserve"> = </w:t>
      </w:r>
      <w:r w:rsidRPr="00D339F4">
        <w:rPr>
          <w:i/>
          <w:iCs/>
        </w:rPr>
        <w:t>I</w:t>
      </w:r>
      <w:r w:rsidRPr="00D339F4">
        <w:rPr>
          <w:i/>
          <w:iCs/>
          <w:vertAlign w:val="subscript"/>
        </w:rPr>
        <w:t>aF</w:t>
      </w:r>
      <w:r w:rsidRPr="00D339F4">
        <w:t xml:space="preserve">, i.e. the effective </w:t>
      </w:r>
      <w:r w:rsidRPr="00D339F4">
        <w:rPr>
          <w:i/>
          <w:iCs/>
        </w:rPr>
        <w:t>I</w:t>
      </w:r>
      <w:r w:rsidRPr="00D339F4">
        <w:rPr>
          <w:i/>
          <w:iCs/>
          <w:vertAlign w:val="subscript"/>
        </w:rPr>
        <w:t>a</w:t>
      </w:r>
      <w:r w:rsidRPr="00D339F4">
        <w:t xml:space="preserve"> of a watershed is equal to the area-weighted average of the filled portion of the </w:t>
      </w:r>
      <w:r w:rsidR="00BC7C58">
        <w:t>initial abstraction</w:t>
      </w:r>
      <w:r w:rsidRPr="00D339F4">
        <w:t xml:space="preserve">. Then, if eq. </w:t>
      </w:r>
      <w:r w:rsidR="00B615A2" w:rsidRPr="00B615A2">
        <w:rPr>
          <w:iCs/>
        </w:rPr>
        <w:t>(10)</w:t>
      </w:r>
      <w:r w:rsidRPr="00D339F4">
        <w:rPr>
          <w:iCs/>
        </w:rPr>
        <w:t xml:space="preserve"> is written for </w:t>
      </w:r>
      <w:r w:rsidRPr="00D339F4">
        <w:t>CN</w:t>
      </w:r>
      <w:r w:rsidRPr="00D339F4">
        <w:rPr>
          <w:i/>
          <w:vertAlign w:val="subscript"/>
        </w:rPr>
        <w:t>W</w:t>
      </w:r>
      <w:r w:rsidRPr="00D339F4">
        <w:rPr>
          <w:iCs/>
        </w:rPr>
        <w:t>,</w:t>
      </w:r>
      <w:r w:rsidRPr="00D339F4">
        <w:rPr>
          <w:i/>
          <w:iCs/>
        </w:rPr>
        <w:t xml:space="preserve"> I</w:t>
      </w:r>
      <w:r w:rsidRPr="00D339F4">
        <w:rPr>
          <w:i/>
          <w:iCs/>
          <w:vertAlign w:val="subscript"/>
        </w:rPr>
        <w:t>a</w:t>
      </w:r>
      <w:r w:rsidRPr="00D339F4">
        <w:rPr>
          <w:iCs/>
        </w:rPr>
        <w:t xml:space="preserve"> can be replaced by </w:t>
      </w:r>
      <w:r w:rsidRPr="00D339F4">
        <w:rPr>
          <w:i/>
          <w:iCs/>
        </w:rPr>
        <w:t>I</w:t>
      </w:r>
      <w:r w:rsidRPr="00D339F4">
        <w:rPr>
          <w:i/>
          <w:iCs/>
          <w:vertAlign w:val="subscript"/>
        </w:rPr>
        <w:t>aF</w:t>
      </w:r>
      <w:r w:rsidRPr="00D339F4">
        <w:rPr>
          <w:iCs/>
        </w:rPr>
        <w:t xml:space="preserve">. Substituting eq. </w:t>
      </w:r>
      <w:r w:rsidR="00B615A2" w:rsidRPr="00B615A2">
        <w:rPr>
          <w:iCs/>
        </w:rPr>
        <w:t>(16)</w:t>
      </w:r>
      <w:r w:rsidRPr="00D339F4">
        <w:rPr>
          <w:iCs/>
        </w:rPr>
        <w:t xml:space="preserve"> in eq. </w:t>
      </w:r>
      <w:r w:rsidR="00B615A2" w:rsidRPr="00B615A2">
        <w:rPr>
          <w:iCs/>
        </w:rPr>
        <w:t>(10)</w:t>
      </w:r>
      <w:r w:rsidRPr="00D339F4">
        <w:rPr>
          <w:iCs/>
        </w:rPr>
        <w:t xml:space="preserve"> gives </w:t>
      </w:r>
      <w:r w:rsidRPr="00D339F4">
        <w:t>CN</w:t>
      </w:r>
      <w:r w:rsidRPr="00D339F4">
        <w:rPr>
          <w:i/>
          <w:vertAlign w:val="subscript"/>
        </w:rPr>
        <w:t>W</w:t>
      </w:r>
      <w:r w:rsidRPr="00D339F4">
        <w:rPr>
          <w:iCs/>
        </w:rPr>
        <w:t xml:space="preserve"> as a function of </w:t>
      </w:r>
      <w:r w:rsidRPr="00D339F4">
        <w:rPr>
          <w:i/>
          <w:iCs/>
        </w:rPr>
        <w:t>P</w:t>
      </w:r>
      <w:r w:rsidRPr="00D339F4">
        <w:rPr>
          <w:iCs/>
        </w:rPr>
        <w:t xml:space="preserve">. When plotted against </w:t>
      </w:r>
      <w:r w:rsidRPr="00D339F4">
        <w:rPr>
          <w:i/>
          <w:iCs/>
        </w:rPr>
        <w:t>P</w:t>
      </w:r>
      <w:r w:rsidRPr="00D339F4">
        <w:rPr>
          <w:iCs/>
        </w:rPr>
        <w:t xml:space="preserve">, </w:t>
      </w:r>
      <w:r w:rsidRPr="00D339F4">
        <w:t>CN</w:t>
      </w:r>
      <w:r w:rsidRPr="00D339F4">
        <w:rPr>
          <w:i/>
          <w:vertAlign w:val="subscript"/>
        </w:rPr>
        <w:t>W</w:t>
      </w:r>
      <w:r w:rsidRPr="00D339F4">
        <w:t xml:space="preserve"> starts at 100 when </w:t>
      </w:r>
      <w:r w:rsidRPr="00D339F4">
        <w:rPr>
          <w:i/>
          <w:iCs/>
        </w:rPr>
        <w:t>P</w:t>
      </w:r>
      <w:r w:rsidRPr="00D339F4">
        <w:t xml:space="preserve"> = 0, and then decreases with increasing </w:t>
      </w:r>
      <w:r w:rsidRPr="00D339F4">
        <w:rPr>
          <w:i/>
          <w:iCs/>
        </w:rPr>
        <w:t>P</w:t>
      </w:r>
      <w:r w:rsidRPr="00D339F4">
        <w:rPr>
          <w:iCs/>
        </w:rPr>
        <w:t xml:space="preserve"> (</w:t>
      </w:r>
      <w:r w:rsidR="00B615A2" w:rsidRPr="00B615A2">
        <w:t>Figure 7</w:t>
      </w:r>
      <w:r w:rsidRPr="00D339F4">
        <w:rPr>
          <w:iCs/>
        </w:rPr>
        <w:t>).</w:t>
      </w:r>
      <w:r w:rsidRPr="00D339F4">
        <w:t xml:space="preserve"> </w:t>
      </w:r>
    </w:p>
    <w:p w:rsidR="00D339F4" w:rsidRPr="00D339F4" w:rsidRDefault="001515F8" w:rsidP="00D339F4">
      <w:pPr>
        <w:spacing w:line="480" w:lineRule="auto"/>
        <w:jc w:val="center"/>
        <w:rPr>
          <w:rFonts w:eastAsia="Calibri"/>
          <w:szCs w:val="22"/>
        </w:rPr>
      </w:pPr>
      <w:r>
        <w:rPr>
          <w:rFonts w:eastAsia="Calibri"/>
          <w:noProof/>
          <w:szCs w:val="22"/>
        </w:rPr>
        <w:lastRenderedPageBreak/>
        <w:drawing>
          <wp:inline distT="0" distB="0" distL="0" distR="0">
            <wp:extent cx="3291840" cy="236268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Nw vs P.EMF"/>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291840" cy="2362680"/>
                    </a:xfrm>
                    <a:prstGeom prst="rect">
                      <a:avLst/>
                    </a:prstGeom>
                  </pic:spPr>
                </pic:pic>
              </a:graphicData>
            </a:graphic>
          </wp:inline>
        </w:drawing>
      </w:r>
    </w:p>
    <w:p w:rsidR="00D339F4" w:rsidRDefault="00D339F4" w:rsidP="00F01BFD">
      <w:pPr>
        <w:spacing w:after="200"/>
        <w:rPr>
          <w:rFonts w:ascii="Arial" w:eastAsia="Calibri" w:hAnsi="Arial" w:cs="Arial"/>
          <w:sz w:val="18"/>
          <w:szCs w:val="18"/>
        </w:rPr>
      </w:pPr>
      <w:bookmarkStart w:id="51" w:name="_Ref422796488"/>
      <w:bookmarkStart w:id="52" w:name="_Toc481390027"/>
      <w:r w:rsidRPr="004F00CE">
        <w:rPr>
          <w:rFonts w:ascii="Arial" w:eastAsia="Calibri" w:hAnsi="Arial" w:cs="Arial"/>
          <w:b/>
          <w:bCs/>
          <w:sz w:val="18"/>
          <w:szCs w:val="18"/>
        </w:rPr>
        <w:t xml:space="preserve">Figure </w:t>
      </w:r>
      <w:r w:rsidR="00B615A2">
        <w:rPr>
          <w:rFonts w:ascii="Arial" w:eastAsia="Calibri" w:hAnsi="Arial" w:cs="Arial"/>
          <w:b/>
          <w:bCs/>
          <w:noProof/>
          <w:sz w:val="18"/>
          <w:szCs w:val="18"/>
        </w:rPr>
        <w:t>7</w:t>
      </w:r>
      <w:bookmarkEnd w:id="51"/>
      <w:r w:rsidRPr="004F00CE">
        <w:rPr>
          <w:rFonts w:ascii="Arial" w:eastAsia="Calibri" w:hAnsi="Arial" w:cs="Arial"/>
          <w:b/>
          <w:bCs/>
          <w:sz w:val="18"/>
          <w:szCs w:val="18"/>
        </w:rPr>
        <w:t>.</w:t>
      </w:r>
      <w:r w:rsidRPr="004F00CE">
        <w:rPr>
          <w:rFonts w:ascii="Arial" w:eastAsia="Calibri" w:hAnsi="Arial" w:cs="Arial"/>
          <w:sz w:val="18"/>
          <w:szCs w:val="18"/>
        </w:rPr>
        <w:t xml:space="preserve"> CN</w:t>
      </w:r>
      <w:r w:rsidRPr="004F00CE">
        <w:rPr>
          <w:rFonts w:ascii="Arial" w:eastAsia="Calibri" w:hAnsi="Arial" w:cs="Arial"/>
          <w:i/>
          <w:sz w:val="18"/>
          <w:szCs w:val="18"/>
          <w:vertAlign w:val="subscript"/>
        </w:rPr>
        <w:t>W</w:t>
      </w:r>
      <w:r w:rsidRPr="004F00CE">
        <w:rPr>
          <w:rFonts w:ascii="Arial" w:eastAsia="Calibri" w:hAnsi="Arial" w:cs="Arial"/>
          <w:sz w:val="18"/>
          <w:szCs w:val="18"/>
        </w:rPr>
        <w:t xml:space="preserve"> as a function of </w:t>
      </w:r>
      <w:r w:rsidRPr="004F00CE">
        <w:rPr>
          <w:rFonts w:ascii="Arial" w:eastAsia="Calibri" w:hAnsi="Arial" w:cs="Arial"/>
          <w:i/>
          <w:iCs/>
          <w:sz w:val="18"/>
          <w:szCs w:val="18"/>
        </w:rPr>
        <w:t>P</w:t>
      </w:r>
      <w:r w:rsidRPr="004F00CE">
        <w:rPr>
          <w:rFonts w:ascii="Arial" w:eastAsia="Calibri" w:hAnsi="Arial" w:cs="Arial"/>
          <w:sz w:val="18"/>
          <w:szCs w:val="18"/>
        </w:rPr>
        <w:t xml:space="preserve"> when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aW</w:t>
      </w:r>
      <w:r w:rsidRPr="004F00CE">
        <w:rPr>
          <w:rFonts w:ascii="Arial" w:eastAsia="Calibri" w:hAnsi="Arial" w:cs="Arial"/>
          <w:sz w:val="18"/>
          <w:szCs w:val="18"/>
        </w:rPr>
        <w:t xml:space="preserve"> is assumed to be equal to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aF</w:t>
      </w:r>
      <w:r w:rsidRPr="004F00CE">
        <w:rPr>
          <w:rFonts w:ascii="Arial" w:eastAsia="Calibri" w:hAnsi="Arial" w:cs="Arial"/>
          <w:sz w:val="18"/>
          <w:szCs w:val="18"/>
        </w:rPr>
        <w:t xml:space="preserve"> (shown in </w:t>
      </w:r>
      <w:r w:rsidR="00B615A2" w:rsidRPr="00B615A2">
        <w:rPr>
          <w:rFonts w:ascii="Arial" w:eastAsia="Calibri" w:hAnsi="Arial" w:cs="Arial"/>
          <w:sz w:val="18"/>
          <w:szCs w:val="18"/>
        </w:rPr>
        <w:t>Figure 6</w:t>
      </w:r>
      <w:r w:rsidRPr="004F00CE">
        <w:rPr>
          <w:rFonts w:ascii="Arial" w:eastAsia="Calibri" w:hAnsi="Arial" w:cs="Arial"/>
          <w:sz w:val="18"/>
          <w:szCs w:val="18"/>
        </w:rPr>
        <w:t>).</w:t>
      </w:r>
      <w:bookmarkEnd w:id="52"/>
    </w:p>
    <w:p w:rsidR="004F00CE" w:rsidRPr="004F00CE" w:rsidRDefault="004F00CE" w:rsidP="00F01BFD">
      <w:pPr>
        <w:spacing w:after="200"/>
        <w:rPr>
          <w:rFonts w:ascii="Arial" w:eastAsia="Calibri" w:hAnsi="Arial" w:cs="Arial"/>
          <w:sz w:val="18"/>
          <w:szCs w:val="18"/>
        </w:rPr>
      </w:pPr>
    </w:p>
    <w:p w:rsidR="00587EFA" w:rsidRPr="00D339F4" w:rsidRDefault="00587EFA" w:rsidP="00587EFA">
      <w:pPr>
        <w:pStyle w:val="NormalNew"/>
        <w:rPr>
          <w:iCs/>
        </w:rPr>
      </w:pPr>
      <w:r w:rsidRPr="00D339F4">
        <w:t xml:space="preserve">Differentiating </w:t>
      </w:r>
      <w:r w:rsidRPr="00D339F4">
        <w:rPr>
          <w:iCs/>
        </w:rPr>
        <w:t xml:space="preserve">eq. </w:t>
      </w:r>
      <w:r w:rsidRPr="00B615A2">
        <w:rPr>
          <w:iCs/>
        </w:rPr>
        <w:t>(10)</w:t>
      </w:r>
      <w:r w:rsidRPr="00D339F4">
        <w:rPr>
          <w:iCs/>
        </w:rPr>
        <w:t xml:space="preserve"> and using eq. </w:t>
      </w:r>
      <w:r w:rsidRPr="00B615A2">
        <w:rPr>
          <w:iCs/>
        </w:rPr>
        <w:t>(19)</w:t>
      </w:r>
      <w:r w:rsidRPr="00D339F4">
        <w:rPr>
          <w:iCs/>
        </w:rPr>
        <w:t xml:space="preserve"> gives</w:t>
      </w:r>
    </w:p>
    <w:p w:rsidR="00587EFA" w:rsidRPr="00D339F4" w:rsidRDefault="00587EFA" w:rsidP="00587EFA">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64"/>
          <w:szCs w:val="22"/>
        </w:rPr>
        <w:pict>
          <v:shape id="_x0000_i1046" type="#_x0000_t75" style="width:96pt;height:71.4pt">
            <v:imagedata r:id="rId36" o:title=""/>
          </v:shape>
        </w:pict>
      </w:r>
      <w:r w:rsidRPr="00D339F4">
        <w:rPr>
          <w:rFonts w:eastAsia="Calibri"/>
          <w:szCs w:val="22"/>
        </w:rPr>
        <w:t xml:space="preserve"> </w:t>
      </w:r>
      <w:r w:rsidRPr="00D339F4">
        <w:rPr>
          <w:rFonts w:eastAsia="Calibri"/>
          <w:szCs w:val="22"/>
        </w:rPr>
        <w:tab/>
      </w:r>
      <w:r w:rsidRPr="00174431">
        <w:rPr>
          <w:rFonts w:eastAsia="Calibri"/>
          <w:sz w:val="20"/>
          <w:szCs w:val="20"/>
        </w:rPr>
        <w:t>(</w:t>
      </w:r>
      <w:r>
        <w:rPr>
          <w:rFonts w:eastAsia="Calibri"/>
          <w:noProof/>
          <w:sz w:val="20"/>
          <w:szCs w:val="20"/>
        </w:rPr>
        <w:t>20</w:t>
      </w:r>
      <w:r w:rsidRPr="00174431">
        <w:rPr>
          <w:rFonts w:eastAsia="Calibri"/>
          <w:sz w:val="20"/>
          <w:szCs w:val="20"/>
        </w:rPr>
        <w:t>)</w:t>
      </w:r>
    </w:p>
    <w:p w:rsidR="00587EFA" w:rsidRDefault="00587EFA" w:rsidP="00587EFA">
      <w:pPr>
        <w:pStyle w:val="NormalNew"/>
      </w:pPr>
      <w:r w:rsidRPr="00D339F4">
        <w:t>where the constant 10 has units of 1/in. Thus the CN</w:t>
      </w:r>
      <w:r w:rsidRPr="00D339F4">
        <w:rPr>
          <w:i/>
          <w:vertAlign w:val="subscript"/>
        </w:rPr>
        <w:t>W</w:t>
      </w:r>
      <w:r w:rsidRPr="00D339F4">
        <w:t xml:space="preserve"> vs. </w:t>
      </w:r>
      <w:r w:rsidRPr="00D339F4">
        <w:rPr>
          <w:i/>
          <w:iCs/>
        </w:rPr>
        <w:t>P</w:t>
      </w:r>
      <w:r w:rsidRPr="00D339F4">
        <w:t xml:space="preserve"> curve is at its steepest at </w:t>
      </w:r>
      <w:r w:rsidRPr="00D339F4">
        <w:rPr>
          <w:i/>
          <w:iCs/>
        </w:rPr>
        <w:t>P</w:t>
      </w:r>
      <w:r w:rsidRPr="00D339F4">
        <w:t xml:space="preserve"> = 0 and flattens with increasing </w:t>
      </w:r>
      <w:r w:rsidRPr="00D339F4">
        <w:rPr>
          <w:i/>
          <w:iCs/>
        </w:rPr>
        <w:t>P</w:t>
      </w:r>
      <w:r w:rsidRPr="00D339F4">
        <w:t xml:space="preserve">, and becomes constant when </w:t>
      </w:r>
      <w:r w:rsidRPr="00D339F4">
        <w:rPr>
          <w:i/>
          <w:iCs/>
        </w:rPr>
        <w:t>P</w:t>
      </w:r>
      <w:r w:rsidRPr="00D339F4">
        <w:t xml:space="preserve"> ≥ </w:t>
      </w:r>
      <w:r w:rsidRPr="00D339F4">
        <w:rPr>
          <w:i/>
          <w:iCs/>
        </w:rPr>
        <w:t>I</w:t>
      </w:r>
      <w:r w:rsidRPr="00D339F4">
        <w:rPr>
          <w:i/>
          <w:iCs/>
          <w:vertAlign w:val="subscript"/>
        </w:rPr>
        <w:t>a</w:t>
      </w:r>
      <w:r w:rsidRPr="00D339F4">
        <w:rPr>
          <w:vertAlign w:val="subscript"/>
        </w:rPr>
        <w:t>,max</w:t>
      </w:r>
      <w:r w:rsidRPr="00D339F4">
        <w:t>. This constant, CN</w:t>
      </w:r>
      <w:r w:rsidRPr="00D339F4">
        <w:rPr>
          <w:i/>
          <w:vertAlign w:val="subscript"/>
        </w:rPr>
        <w:t>T</w:t>
      </w:r>
      <w:r w:rsidRPr="00D339F4">
        <w:t>, is the smallest value CN</w:t>
      </w:r>
      <w:r w:rsidRPr="00D339F4">
        <w:rPr>
          <w:i/>
          <w:vertAlign w:val="subscript"/>
        </w:rPr>
        <w:t>W</w:t>
      </w:r>
      <w:r w:rsidRPr="00D339F4">
        <w:t xml:space="preserve"> can take and corresponds to the case </w:t>
      </w:r>
      <w:r w:rsidRPr="00D339F4">
        <w:rPr>
          <w:i/>
          <w:iCs/>
        </w:rPr>
        <w:t>I</w:t>
      </w:r>
      <w:r w:rsidRPr="00D339F4">
        <w:rPr>
          <w:i/>
          <w:iCs/>
          <w:vertAlign w:val="subscript"/>
        </w:rPr>
        <w:t>aF</w:t>
      </w:r>
      <w:r w:rsidRPr="00D339F4">
        <w:t xml:space="preserve"> = </w:t>
      </w:r>
      <w:r w:rsidRPr="00D339F4">
        <w:rPr>
          <w:i/>
          <w:iCs/>
        </w:rPr>
        <w:t>I</w:t>
      </w:r>
      <w:r w:rsidRPr="00D339F4">
        <w:rPr>
          <w:i/>
          <w:iCs/>
          <w:vertAlign w:val="subscript"/>
        </w:rPr>
        <w:t>aT</w:t>
      </w:r>
      <w:r w:rsidRPr="00D339F4">
        <w:t>, when the initial abstractions of all the HRUs are fully filled. CN</w:t>
      </w:r>
      <w:r w:rsidRPr="00D339F4">
        <w:rPr>
          <w:i/>
          <w:vertAlign w:val="subscript"/>
        </w:rPr>
        <w:t>W</w:t>
      </w:r>
      <w:r w:rsidRPr="00D339F4">
        <w:t xml:space="preserve"> as a function of </w:t>
      </w:r>
      <w:r w:rsidRPr="00D339F4">
        <w:rPr>
          <w:i/>
          <w:iCs/>
        </w:rPr>
        <w:t>P</w:t>
      </w:r>
      <w:r w:rsidRPr="00D339F4">
        <w:t xml:space="preserve"> is bounded by a curve corresponding to the condition </w:t>
      </w:r>
      <w:r w:rsidRPr="00D339F4">
        <w:rPr>
          <w:i/>
          <w:iCs/>
        </w:rPr>
        <w:t>P</w:t>
      </w:r>
      <w:r w:rsidRPr="00D339F4">
        <w:t xml:space="preserve"> = </w:t>
      </w:r>
      <w:r w:rsidRPr="00D339F4">
        <w:rPr>
          <w:i/>
          <w:iCs/>
        </w:rPr>
        <w:t>I</w:t>
      </w:r>
      <w:r w:rsidRPr="00D339F4">
        <w:rPr>
          <w:i/>
          <w:iCs/>
          <w:vertAlign w:val="subscript"/>
        </w:rPr>
        <w:t>aF</w:t>
      </w:r>
      <w:r w:rsidRPr="00D339F4">
        <w:t>, the no-runoff line, and a line of slope = 0 with the intercept equal to CN</w:t>
      </w:r>
      <w:r w:rsidRPr="00D339F4">
        <w:rPr>
          <w:i/>
          <w:vertAlign w:val="subscript"/>
        </w:rPr>
        <w:t>T</w:t>
      </w:r>
      <w:r w:rsidRPr="00D339F4">
        <w:t xml:space="preserve"> (</w:t>
      </w:r>
      <w:r w:rsidRPr="00B615A2">
        <w:t>Figure 7</w:t>
      </w:r>
      <w:r w:rsidRPr="00D339F4">
        <w:t>).</w:t>
      </w:r>
    </w:p>
    <w:p w:rsidR="00D339F4" w:rsidRPr="00D339F4" w:rsidRDefault="00D339F4" w:rsidP="00F01BFD">
      <w:pPr>
        <w:pStyle w:val="NormalNew"/>
      </w:pPr>
      <w:r w:rsidRPr="00D339F4">
        <w:t>The shape of the CN</w:t>
      </w:r>
      <w:r w:rsidRPr="00D339F4">
        <w:rPr>
          <w:i/>
          <w:vertAlign w:val="subscript"/>
        </w:rPr>
        <w:t>W</w:t>
      </w:r>
      <w:r w:rsidRPr="00D339F4">
        <w:t xml:space="preserve"> vs. </w:t>
      </w:r>
      <w:r w:rsidRPr="00D339F4">
        <w:rPr>
          <w:i/>
          <w:iCs/>
        </w:rPr>
        <w:t>P</w:t>
      </w:r>
      <w:r w:rsidRPr="00D339F4">
        <w:t xml:space="preserve"> curve (</w:t>
      </w:r>
      <w:r w:rsidR="00B615A2" w:rsidRPr="00B615A2">
        <w:t>Figure 7</w:t>
      </w:r>
      <w:r w:rsidRPr="00D339F4">
        <w:t xml:space="preserve">) generated using eqs. </w:t>
      </w:r>
      <w:r w:rsidR="00B615A2" w:rsidRPr="00B615A2">
        <w:t>(10)</w:t>
      </w:r>
      <w:r w:rsidRPr="00D339F4">
        <w:t xml:space="preserve"> and </w:t>
      </w:r>
      <w:r w:rsidR="00B615A2" w:rsidRPr="00B615A2">
        <w:t>(16)</w:t>
      </w:r>
      <w:r w:rsidRPr="00D339F4">
        <w:t xml:space="preserve"> is quite similar to the best-fit curves from field observations [</w:t>
      </w:r>
      <w:r w:rsidR="00B615A2" w:rsidRPr="00B615A2">
        <w:t>Figure 2</w:t>
      </w:r>
      <w:r w:rsidRPr="00D339F4">
        <w:rPr>
          <w:iCs/>
        </w:rPr>
        <w:t>(a) and 2(b)</w:t>
      </w:r>
      <w:r w:rsidRPr="00D339F4">
        <w:t xml:space="preserve">]. Nearly 95% of the watersheds evaluated in the previous studies (D’Asaro and Grillone, 2012; Hawkins, 1993) also had responses identical to </w:t>
      </w:r>
      <w:r w:rsidR="00B615A2" w:rsidRPr="00B615A2">
        <w:t>Figure 7</w:t>
      </w:r>
      <w:r w:rsidRPr="00D339F4">
        <w:t xml:space="preserve">, supporting the hypothesis that </w:t>
      </w:r>
      <w:r w:rsidRPr="00D339F4">
        <w:rPr>
          <w:i/>
          <w:iCs/>
        </w:rPr>
        <w:t>I</w:t>
      </w:r>
      <w:r w:rsidRPr="00D339F4">
        <w:rPr>
          <w:i/>
          <w:iCs/>
          <w:vertAlign w:val="subscript"/>
        </w:rPr>
        <w:t>aW</w:t>
      </w:r>
      <w:r w:rsidRPr="00D339F4">
        <w:t xml:space="preserve"> = </w:t>
      </w:r>
      <w:r w:rsidRPr="00D339F4">
        <w:rPr>
          <w:i/>
          <w:iCs/>
        </w:rPr>
        <w:t>I</w:t>
      </w:r>
      <w:r w:rsidRPr="00D339F4">
        <w:rPr>
          <w:i/>
          <w:iCs/>
          <w:vertAlign w:val="subscript"/>
        </w:rPr>
        <w:t>aF</w:t>
      </w:r>
      <w:r w:rsidRPr="00D339F4">
        <w:t xml:space="preserve">. </w:t>
      </w:r>
      <w:r w:rsidR="00783466" w:rsidRPr="00D75253">
        <w:t>Thus, as also concluded</w:t>
      </w:r>
      <w:r w:rsidRPr="00D339F4">
        <w:t xml:space="preserve"> by </w:t>
      </w:r>
      <w:r w:rsidR="003F320E">
        <w:t>Soulis and Valiantzas</w:t>
      </w:r>
      <w:r w:rsidRPr="00D339F4">
        <w:t xml:space="preserve"> </w:t>
      </w:r>
      <w:r w:rsidR="003F320E">
        <w:t>(</w:t>
      </w:r>
      <w:r w:rsidRPr="00D339F4">
        <w:t>2012</w:t>
      </w:r>
      <w:r w:rsidR="00783466">
        <w:t>, 2013</w:t>
      </w:r>
      <w:r w:rsidRPr="00D339F4">
        <w:t xml:space="preserve">), </w:t>
      </w:r>
      <w:r w:rsidR="00783466" w:rsidRPr="00D75253">
        <w:t xml:space="preserve">the observed </w:t>
      </w:r>
      <w:r w:rsidR="00783466" w:rsidRPr="00D75253">
        <w:rPr>
          <w:i/>
        </w:rPr>
        <w:t xml:space="preserve">complacent </w:t>
      </w:r>
      <w:r w:rsidR="00783466" w:rsidRPr="00D75253">
        <w:t xml:space="preserve">and </w:t>
      </w:r>
      <w:r w:rsidR="00783466" w:rsidRPr="00D75253">
        <w:rPr>
          <w:i/>
        </w:rPr>
        <w:t>standard behaviors</w:t>
      </w:r>
      <w:r w:rsidR="00783466" w:rsidRPr="00D75253">
        <w:t xml:space="preserve"> are caused by the inevitable presence of heterogeneity in a watershed.</w:t>
      </w:r>
      <w:r w:rsidR="00783466">
        <w:t xml:space="preserve"> </w:t>
      </w:r>
      <w:r w:rsidR="00783466" w:rsidRPr="00D75253">
        <w:t xml:space="preserve">Moreover, </w:t>
      </w:r>
      <w:r w:rsidRPr="00D339F4">
        <w:rPr>
          <w:i/>
        </w:rPr>
        <w:t>complacent behavior</w:t>
      </w:r>
      <w:r w:rsidRPr="00D339F4">
        <w:t xml:space="preserve"> appears to be a special case of </w:t>
      </w:r>
      <w:r w:rsidRPr="00D339F4">
        <w:rPr>
          <w:i/>
        </w:rPr>
        <w:t>standard behavior</w:t>
      </w:r>
      <w:r w:rsidRPr="00D339F4">
        <w:t xml:space="preserve"> </w:t>
      </w:r>
      <w:r w:rsidR="00783466" w:rsidRPr="00D75253">
        <w:t>(Soulis and Valiantzas, 2012)</w:t>
      </w:r>
      <w:r w:rsidR="00783466">
        <w:t xml:space="preserve">, </w:t>
      </w:r>
      <w:r w:rsidRPr="00D339F4">
        <w:t xml:space="preserve">where observations from larger rainfalls are unavailable. Therefore, it is probably more appropriate to refer to any “CN decreasing with </w:t>
      </w:r>
      <w:r w:rsidRPr="00D339F4">
        <w:rPr>
          <w:i/>
        </w:rPr>
        <w:t>P</w:t>
      </w:r>
      <w:r w:rsidRPr="00D339F4">
        <w:t xml:space="preserve">” trend as </w:t>
      </w:r>
      <w:r w:rsidRPr="00D339F4">
        <w:rPr>
          <w:i/>
        </w:rPr>
        <w:t>standard behavior</w:t>
      </w:r>
      <w:r w:rsidRPr="00D339F4">
        <w:t xml:space="preserve">.  It also shows that assuming a partial source area whenever a </w:t>
      </w:r>
      <w:r w:rsidRPr="00D339F4">
        <w:rPr>
          <w:i/>
        </w:rPr>
        <w:t>complacent behavior</w:t>
      </w:r>
      <w:r w:rsidRPr="00D339F4">
        <w:t xml:space="preserve"> is observed (D’Asaro and Grillone, 2012; D'Asaro and Grillone, 2015) can be misleading.</w:t>
      </w:r>
    </w:p>
    <w:p w:rsidR="00D339F4" w:rsidRPr="00D339F4" w:rsidRDefault="00D339F4" w:rsidP="00D339F4">
      <w:pPr>
        <w:pStyle w:val="Heading3"/>
      </w:pPr>
      <w:bookmarkStart w:id="53" w:name="_Toc479817862"/>
      <w:bookmarkStart w:id="54" w:name="_Toc481658238"/>
      <w:r w:rsidRPr="00D339F4">
        <w:lastRenderedPageBreak/>
        <w:t xml:space="preserve">2.5. </w:t>
      </w:r>
      <w:r w:rsidRPr="00D339F4">
        <w:rPr>
          <w:i/>
          <w:iCs/>
        </w:rPr>
        <w:t>I</w:t>
      </w:r>
      <w:r w:rsidRPr="00D339F4">
        <w:rPr>
          <w:i/>
          <w:iCs/>
          <w:vertAlign w:val="subscript"/>
        </w:rPr>
        <w:t>aF</w:t>
      </w:r>
      <w:r w:rsidRPr="00D339F4">
        <w:t xml:space="preserve"> and CN</w:t>
      </w:r>
      <w:r w:rsidRPr="00D339F4">
        <w:rPr>
          <w:i/>
          <w:vertAlign w:val="subscript"/>
        </w:rPr>
        <w:t>W</w:t>
      </w:r>
      <w:r w:rsidRPr="00D339F4">
        <w:t xml:space="preserve"> Curves for Various Distributions of </w:t>
      </w:r>
      <w:r w:rsidRPr="00D339F4">
        <w:rPr>
          <w:i/>
          <w:iCs/>
        </w:rPr>
        <w:t>I</w:t>
      </w:r>
      <w:r w:rsidRPr="00D339F4">
        <w:rPr>
          <w:i/>
          <w:iCs/>
          <w:vertAlign w:val="subscript"/>
        </w:rPr>
        <w:t>a</w:t>
      </w:r>
      <w:bookmarkEnd w:id="53"/>
      <w:bookmarkEnd w:id="54"/>
    </w:p>
    <w:p w:rsidR="00F01BFD" w:rsidRPr="00D339F4" w:rsidRDefault="00D339F4" w:rsidP="00C2011A">
      <w:pPr>
        <w:pStyle w:val="NormalNew"/>
      </w:pPr>
      <w:r w:rsidRPr="00D339F4">
        <w:t>The functional form of</w:t>
      </w:r>
      <w:r w:rsidRPr="00D339F4">
        <w:rPr>
          <w:i/>
          <w:iCs/>
        </w:rPr>
        <w:t xml:space="preserve"> a</w:t>
      </w:r>
      <w:r w:rsidRPr="00D339F4">
        <w:t>(</w:t>
      </w:r>
      <w:r w:rsidRPr="00D339F4">
        <w:rPr>
          <w:i/>
          <w:iCs/>
        </w:rPr>
        <w:t>I</w:t>
      </w:r>
      <w:r w:rsidRPr="00D339F4">
        <w:rPr>
          <w:i/>
          <w:iCs/>
          <w:vertAlign w:val="subscript"/>
        </w:rPr>
        <w:t>a</w:t>
      </w:r>
      <w:r w:rsidRPr="00D339F4">
        <w:t>) defines the areal distribution of</w:t>
      </w:r>
      <w:r w:rsidRPr="00D339F4">
        <w:rPr>
          <w:i/>
          <w:iCs/>
        </w:rPr>
        <w:t xml:space="preserve"> I</w:t>
      </w:r>
      <w:r w:rsidRPr="00D339F4">
        <w:rPr>
          <w:i/>
          <w:iCs/>
          <w:vertAlign w:val="subscript"/>
        </w:rPr>
        <w:t>a</w:t>
      </w:r>
      <w:r w:rsidRPr="00D339F4">
        <w:t xml:space="preserve"> within a watershed. We considered idealized functional forms of </w:t>
      </w:r>
      <w:r w:rsidRPr="00D339F4">
        <w:rPr>
          <w:i/>
          <w:iCs/>
        </w:rPr>
        <w:t>a</w:t>
      </w:r>
      <w:r w:rsidRPr="00D339F4">
        <w:t>(</w:t>
      </w:r>
      <w:r w:rsidRPr="00D339F4">
        <w:rPr>
          <w:i/>
          <w:iCs/>
        </w:rPr>
        <w:t>I</w:t>
      </w:r>
      <w:r w:rsidRPr="00D339F4">
        <w:rPr>
          <w:i/>
          <w:iCs/>
          <w:vertAlign w:val="subscript"/>
        </w:rPr>
        <w:t>a</w:t>
      </w:r>
      <w:r w:rsidRPr="00D339F4">
        <w:t>) that correspond to uniform, normal, triangular, and bi-modal distributions (</w:t>
      </w:r>
      <w:r w:rsidR="00B615A2" w:rsidRPr="00B615A2">
        <w:t>Table 1</w:t>
      </w:r>
      <w:r w:rsidRPr="00C2011A">
        <w:t xml:space="preserve">). In each </w:t>
      </w:r>
      <w:r w:rsidR="00C2011A" w:rsidRPr="00D339F4">
        <w:rPr>
          <w:i/>
          <w:iCs/>
        </w:rPr>
        <w:t>a</w:t>
      </w:r>
      <w:r w:rsidR="00C2011A" w:rsidRPr="00D339F4">
        <w:t>(</w:t>
      </w:r>
      <w:r w:rsidR="00C2011A" w:rsidRPr="00D339F4">
        <w:rPr>
          <w:i/>
          <w:iCs/>
        </w:rPr>
        <w:t>I</w:t>
      </w:r>
      <w:r w:rsidR="00C2011A" w:rsidRPr="00D339F4">
        <w:rPr>
          <w:i/>
          <w:iCs/>
          <w:vertAlign w:val="subscript"/>
        </w:rPr>
        <w:t>a</w:t>
      </w:r>
      <w:r w:rsidR="00C2011A" w:rsidRPr="00D339F4">
        <w:t>)</w:t>
      </w:r>
      <w:r w:rsidR="00C2011A">
        <w:t>,</w:t>
      </w:r>
      <w:r w:rsidR="00C2011A" w:rsidRPr="00D339F4">
        <w:t xml:space="preserve"> </w:t>
      </w:r>
      <w:r w:rsidRPr="00C2011A">
        <w:t xml:space="preserve">the maximum or other key value was constrained so that the total area under the distribution was unity. For example, the y-coordinate of the apex in the triangular distribution must be equal to 2 / </w:t>
      </w:r>
      <w:r w:rsidR="00C2011A" w:rsidRPr="00D339F4">
        <w:rPr>
          <w:i/>
          <w:iCs/>
        </w:rPr>
        <w:t>I</w:t>
      </w:r>
      <w:r w:rsidR="00C2011A" w:rsidRPr="00D339F4">
        <w:rPr>
          <w:i/>
          <w:iCs/>
          <w:vertAlign w:val="subscript"/>
        </w:rPr>
        <w:t>a</w:t>
      </w:r>
      <w:r w:rsidR="00C2011A" w:rsidRPr="00D339F4">
        <w:rPr>
          <w:vertAlign w:val="subscript"/>
        </w:rPr>
        <w:t>,max</w:t>
      </w:r>
      <w:r w:rsidR="00C2011A" w:rsidRPr="00D339F4">
        <w:t xml:space="preserve"> </w:t>
      </w:r>
      <w:r w:rsidRPr="00C2011A">
        <w:t>(</w:t>
      </w:r>
      <w:r w:rsidR="00B615A2" w:rsidRPr="00B615A2">
        <w:t>Table 1</w:t>
      </w:r>
      <w:r w:rsidRPr="00C2011A">
        <w:t>). In the case o</w:t>
      </w:r>
      <w:r w:rsidRPr="00D339F4">
        <w:t>f normal distribution, however, the area under the curve is unity only when the limits are infinite. Therefore, a standard deviation (σ) much less than</w:t>
      </w:r>
      <w:r w:rsidRPr="00D339F4">
        <w:rPr>
          <w:i/>
          <w:iCs/>
        </w:rPr>
        <w:t xml:space="preserve"> I</w:t>
      </w:r>
      <w:r w:rsidRPr="00D339F4">
        <w:rPr>
          <w:i/>
          <w:iCs/>
          <w:vertAlign w:val="subscript"/>
        </w:rPr>
        <w:t>a</w:t>
      </w:r>
      <w:r w:rsidRPr="00D339F4">
        <w:rPr>
          <w:vertAlign w:val="subscript"/>
        </w:rPr>
        <w:t>,max</w:t>
      </w:r>
      <w:r w:rsidRPr="00D339F4">
        <w:t xml:space="preserve"> was used so that the area under the curve within the range 0 ≤ </w:t>
      </w:r>
      <w:r w:rsidRPr="00D339F4">
        <w:rPr>
          <w:i/>
          <w:iCs/>
        </w:rPr>
        <w:t>I</w:t>
      </w:r>
      <w:r w:rsidRPr="00D339F4">
        <w:rPr>
          <w:i/>
          <w:iCs/>
          <w:vertAlign w:val="subscript"/>
        </w:rPr>
        <w:t>a</w:t>
      </w:r>
      <w:r w:rsidRPr="00D339F4">
        <w:t xml:space="preserve"> ≤ </w:t>
      </w:r>
      <w:r w:rsidRPr="00D339F4">
        <w:rPr>
          <w:i/>
          <w:iCs/>
        </w:rPr>
        <w:t>I</w:t>
      </w:r>
      <w:r w:rsidRPr="00D339F4">
        <w:rPr>
          <w:i/>
          <w:iCs/>
          <w:vertAlign w:val="subscript"/>
        </w:rPr>
        <w:t>a</w:t>
      </w:r>
      <w:r w:rsidRPr="00D339F4">
        <w:rPr>
          <w:vertAlign w:val="subscript"/>
        </w:rPr>
        <w:t>,max</w:t>
      </w:r>
      <w:r w:rsidRPr="00D339F4">
        <w:t xml:space="preserve"> is approximately equal to unity.</w:t>
      </w:r>
    </w:p>
    <w:p w:rsidR="004E78F6" w:rsidRPr="00D339F4" w:rsidRDefault="00D339F4" w:rsidP="00C2011A">
      <w:pPr>
        <w:pStyle w:val="NormalNew"/>
      </w:pPr>
      <w:r w:rsidRPr="00D339F4">
        <w:t xml:space="preserve">For each distribution, the corresponding functional form of </w:t>
      </w:r>
      <w:r w:rsidRPr="00D339F4">
        <w:rPr>
          <w:i/>
          <w:iCs/>
        </w:rPr>
        <w:t>I</w:t>
      </w:r>
      <w:r w:rsidRPr="00D339F4">
        <w:rPr>
          <w:i/>
          <w:iCs/>
          <w:vertAlign w:val="subscript"/>
        </w:rPr>
        <w:t xml:space="preserve">aF </w:t>
      </w:r>
      <w:r w:rsidRPr="00D339F4">
        <w:t xml:space="preserve">was determined using eq. </w:t>
      </w:r>
      <w:r w:rsidR="00B615A2" w:rsidRPr="00B615A2">
        <w:t>(16)</w:t>
      </w:r>
      <w:r w:rsidRPr="00D339F4">
        <w:t xml:space="preserve"> and the results are presented </w:t>
      </w:r>
      <w:r w:rsidRPr="00C2011A">
        <w:t xml:space="preserve">in </w:t>
      </w:r>
      <w:r w:rsidR="00B615A2" w:rsidRPr="00B615A2">
        <w:t>Table 1</w:t>
      </w:r>
      <w:r w:rsidRPr="00C2011A">
        <w:t xml:space="preserve">. For the general case of </w:t>
      </w:r>
      <w:r w:rsidR="00C2011A" w:rsidRPr="00D339F4">
        <w:rPr>
          <w:i/>
          <w:iCs/>
        </w:rPr>
        <w:t>a</w:t>
      </w:r>
      <w:r w:rsidR="00C2011A" w:rsidRPr="00D339F4">
        <w:t>(</w:t>
      </w:r>
      <w:r w:rsidR="00C2011A" w:rsidRPr="00D339F4">
        <w:rPr>
          <w:i/>
          <w:iCs/>
        </w:rPr>
        <w:t>I</w:t>
      </w:r>
      <w:r w:rsidR="00C2011A" w:rsidRPr="00D339F4">
        <w:rPr>
          <w:i/>
          <w:iCs/>
          <w:vertAlign w:val="subscript"/>
        </w:rPr>
        <w:t>a</w:t>
      </w:r>
      <w:r w:rsidR="00C2011A" w:rsidRPr="00D339F4">
        <w:t xml:space="preserve">) </w:t>
      </w:r>
      <w:r w:rsidRPr="00C2011A">
        <w:t xml:space="preserve">as a polynomial, the corresponding </w:t>
      </w:r>
      <w:r w:rsidR="00C2011A" w:rsidRPr="00D339F4">
        <w:rPr>
          <w:i/>
          <w:iCs/>
        </w:rPr>
        <w:t>I</w:t>
      </w:r>
      <w:r w:rsidR="00C2011A" w:rsidRPr="00D339F4">
        <w:rPr>
          <w:i/>
          <w:iCs/>
          <w:vertAlign w:val="subscript"/>
        </w:rPr>
        <w:t>aF</w:t>
      </w:r>
      <w:r w:rsidR="00C2011A" w:rsidRPr="00C2011A">
        <w:t xml:space="preserve"> </w:t>
      </w:r>
      <w:r w:rsidRPr="00C2011A">
        <w:t xml:space="preserve">is a polynomial two degrees higher than </w:t>
      </w:r>
      <w:r w:rsidR="00C2011A" w:rsidRPr="00D339F4">
        <w:rPr>
          <w:i/>
          <w:iCs/>
        </w:rPr>
        <w:t>a</w:t>
      </w:r>
      <w:r w:rsidR="00C2011A" w:rsidRPr="00D339F4">
        <w:t>(</w:t>
      </w:r>
      <w:r w:rsidR="00C2011A" w:rsidRPr="00D339F4">
        <w:rPr>
          <w:i/>
          <w:iCs/>
        </w:rPr>
        <w:t>I</w:t>
      </w:r>
      <w:r w:rsidR="00C2011A" w:rsidRPr="00D339F4">
        <w:rPr>
          <w:i/>
          <w:iCs/>
          <w:vertAlign w:val="subscript"/>
        </w:rPr>
        <w:t>a</w:t>
      </w:r>
      <w:r w:rsidR="00C2011A" w:rsidRPr="00D339F4">
        <w:t>)</w:t>
      </w:r>
      <w:r w:rsidR="00C2011A">
        <w:t>.</w:t>
      </w:r>
      <w:r w:rsidR="00C2011A" w:rsidRPr="00D339F4">
        <w:t xml:space="preserve"> </w:t>
      </w:r>
      <w:r w:rsidRPr="00C2011A">
        <w:t xml:space="preserve">For the normal distribution, </w:t>
      </w:r>
      <w:r w:rsidR="00C2011A" w:rsidRPr="00D339F4">
        <w:rPr>
          <w:i/>
          <w:iCs/>
        </w:rPr>
        <w:t>I</w:t>
      </w:r>
      <w:r w:rsidR="00C2011A" w:rsidRPr="00D339F4">
        <w:rPr>
          <w:i/>
          <w:iCs/>
          <w:vertAlign w:val="subscript"/>
        </w:rPr>
        <w:t>aF</w:t>
      </w:r>
      <w:r w:rsidR="00C2011A" w:rsidRPr="00C2011A">
        <w:t xml:space="preserve"> </w:t>
      </w:r>
      <w:r w:rsidRPr="00C2011A">
        <w:t>is a combination of Gaussian and Error functions (</w:t>
      </w:r>
      <w:r w:rsidR="00B615A2" w:rsidRPr="00B615A2">
        <w:t>Table 1</w:t>
      </w:r>
      <w:r w:rsidRPr="00C2011A">
        <w:t>).</w:t>
      </w:r>
    </w:p>
    <w:p w:rsidR="00D339F4" w:rsidRPr="00AD7E78" w:rsidRDefault="00D339F4" w:rsidP="00AD7E78">
      <w:pPr>
        <w:pStyle w:val="NormalNew"/>
      </w:pPr>
      <w:r w:rsidRPr="00D339F4">
        <w:t xml:space="preserve">For the purpose of comparison, symmetrical versions of the distributions were considered such that all of them have the same minimum, mean, and maximum values of </w:t>
      </w:r>
      <w:r w:rsidRPr="00D339F4">
        <w:rPr>
          <w:i/>
          <w:iCs/>
        </w:rPr>
        <w:t>I</w:t>
      </w:r>
      <w:r w:rsidRPr="00D339F4">
        <w:rPr>
          <w:i/>
          <w:iCs/>
          <w:vertAlign w:val="subscript"/>
        </w:rPr>
        <w:t>a</w:t>
      </w:r>
      <w:r w:rsidRPr="00D339F4">
        <w:t xml:space="preserve"> [</w:t>
      </w:r>
      <w:r w:rsidR="00B615A2" w:rsidRPr="00B615A2">
        <w:t>Figure 8</w:t>
      </w:r>
      <w:r w:rsidRPr="00D339F4">
        <w:t xml:space="preserve">(a)]. The minimum value of </w:t>
      </w:r>
      <w:r w:rsidRPr="00D339F4">
        <w:rPr>
          <w:i/>
          <w:iCs/>
        </w:rPr>
        <w:t>I</w:t>
      </w:r>
      <w:r w:rsidRPr="00D339F4">
        <w:rPr>
          <w:i/>
          <w:iCs/>
          <w:vertAlign w:val="subscript"/>
        </w:rPr>
        <w:t>a</w:t>
      </w:r>
      <w:r w:rsidRPr="00D339F4">
        <w:t xml:space="preserve"> was set to zero and the maximum value was </w:t>
      </w:r>
      <w:r w:rsidRPr="00D339F4">
        <w:rPr>
          <w:i/>
          <w:iCs/>
        </w:rPr>
        <w:t>I</w:t>
      </w:r>
      <w:r w:rsidRPr="00D339F4">
        <w:rPr>
          <w:i/>
          <w:iCs/>
          <w:vertAlign w:val="subscript"/>
        </w:rPr>
        <w:t>a</w:t>
      </w:r>
      <w:r w:rsidRPr="00D339F4">
        <w:rPr>
          <w:vertAlign w:val="subscript"/>
        </w:rPr>
        <w:t>,max</w:t>
      </w:r>
      <w:r w:rsidRPr="00D339F4">
        <w:t xml:space="preserve">. Therefore, the mean for all the distributions was </w:t>
      </w:r>
      <w:r w:rsidRPr="00D339F4">
        <w:rPr>
          <w:i/>
          <w:iCs/>
        </w:rPr>
        <w:t>I</w:t>
      </w:r>
      <w:r w:rsidRPr="00D339F4">
        <w:rPr>
          <w:i/>
          <w:iCs/>
          <w:vertAlign w:val="subscript"/>
        </w:rPr>
        <w:t>a</w:t>
      </w:r>
      <w:r w:rsidRPr="00D339F4">
        <w:rPr>
          <w:vertAlign w:val="subscript"/>
        </w:rPr>
        <w:t>,max</w:t>
      </w:r>
      <w:r w:rsidRPr="00D339F4">
        <w:t xml:space="preserve"> /2.</w:t>
      </w:r>
    </w:p>
    <w:p w:rsidR="00D339F4" w:rsidRPr="00D339F4" w:rsidRDefault="00D339F4" w:rsidP="00D339F4">
      <w:pPr>
        <w:spacing w:line="480" w:lineRule="auto"/>
        <w:ind w:firstLine="720"/>
        <w:rPr>
          <w:rFonts w:eastAsia="Calibri"/>
          <w:szCs w:val="22"/>
        </w:rPr>
        <w:sectPr w:rsidR="00D339F4" w:rsidRPr="00D339F4" w:rsidSect="00587EFA">
          <w:headerReference w:type="even" r:id="rId37"/>
          <w:headerReference w:type="default" r:id="rId38"/>
          <w:footerReference w:type="even" r:id="rId39"/>
          <w:footerReference w:type="default" r:id="rId40"/>
          <w:headerReference w:type="first" r:id="rId41"/>
          <w:footerReference w:type="first" r:id="rId42"/>
          <w:pgSz w:w="11907" w:h="13608" w:code="1"/>
          <w:pgMar w:top="567" w:right="936" w:bottom="1338" w:left="936" w:header="0" w:footer="567" w:gutter="0"/>
          <w:lnNumType w:countBy="5"/>
          <w:cols w:space="720"/>
          <w:docGrid w:linePitch="360"/>
        </w:sectPr>
      </w:pPr>
    </w:p>
    <w:p w:rsidR="00D339F4" w:rsidRPr="00D132C8" w:rsidRDefault="00D339F4" w:rsidP="00D339F4">
      <w:pPr>
        <w:keepNext/>
        <w:spacing w:after="200"/>
        <w:jc w:val="center"/>
        <w:rPr>
          <w:rFonts w:eastAsia="Calibri"/>
          <w:sz w:val="20"/>
          <w:szCs w:val="20"/>
        </w:rPr>
      </w:pPr>
      <w:bookmarkStart w:id="55" w:name="_Ref420401056"/>
      <w:bookmarkStart w:id="56" w:name="_Toc481389990"/>
      <w:r w:rsidRPr="00D132C8">
        <w:rPr>
          <w:rFonts w:eastAsia="Calibri"/>
          <w:b/>
          <w:bCs/>
          <w:sz w:val="20"/>
          <w:szCs w:val="20"/>
        </w:rPr>
        <w:lastRenderedPageBreak/>
        <w:t xml:space="preserve">Table </w:t>
      </w:r>
      <w:r w:rsidR="00B615A2">
        <w:rPr>
          <w:rFonts w:eastAsia="Calibri"/>
          <w:b/>
          <w:bCs/>
          <w:noProof/>
          <w:sz w:val="20"/>
          <w:szCs w:val="20"/>
        </w:rPr>
        <w:t>1</w:t>
      </w:r>
      <w:bookmarkEnd w:id="55"/>
      <w:r w:rsidRPr="00D132C8">
        <w:rPr>
          <w:rFonts w:eastAsia="Calibri"/>
          <w:b/>
          <w:bCs/>
          <w:sz w:val="20"/>
          <w:szCs w:val="20"/>
        </w:rPr>
        <w:t xml:space="preserve">. </w:t>
      </w:r>
      <w:r w:rsidRPr="00D132C8">
        <w:rPr>
          <w:rFonts w:eastAsia="Calibri"/>
          <w:sz w:val="20"/>
          <w:szCs w:val="20"/>
        </w:rPr>
        <w:t xml:space="preserve">Functional forms of </w:t>
      </w:r>
      <w:r w:rsidRPr="00D132C8">
        <w:rPr>
          <w:rFonts w:eastAsia="Calibri"/>
          <w:i/>
          <w:iCs/>
          <w:sz w:val="20"/>
          <w:szCs w:val="20"/>
        </w:rPr>
        <w:t>a</w:t>
      </w:r>
      <w:r w:rsidRPr="00D132C8">
        <w:rPr>
          <w:rFonts w:eastAsia="Calibri"/>
          <w:sz w:val="20"/>
          <w:szCs w:val="20"/>
        </w:rPr>
        <w:t>(</w:t>
      </w:r>
      <w:r w:rsidRPr="00D132C8">
        <w:rPr>
          <w:rFonts w:eastAsia="Calibri"/>
          <w:i/>
          <w:iCs/>
          <w:sz w:val="20"/>
          <w:szCs w:val="20"/>
        </w:rPr>
        <w:t>I</w:t>
      </w:r>
      <w:r w:rsidRPr="00D132C8">
        <w:rPr>
          <w:rFonts w:eastAsia="Calibri"/>
          <w:i/>
          <w:iCs/>
          <w:sz w:val="20"/>
          <w:szCs w:val="20"/>
          <w:vertAlign w:val="subscript"/>
        </w:rPr>
        <w:t>a</w:t>
      </w:r>
      <w:r w:rsidRPr="00D132C8">
        <w:rPr>
          <w:rFonts w:eastAsia="Calibri"/>
          <w:sz w:val="20"/>
          <w:szCs w:val="20"/>
        </w:rPr>
        <w:t xml:space="preserve">) and </w:t>
      </w:r>
      <w:r w:rsidRPr="00D132C8">
        <w:rPr>
          <w:rFonts w:eastAsia="Calibri"/>
          <w:i/>
          <w:iCs/>
          <w:sz w:val="20"/>
          <w:szCs w:val="20"/>
        </w:rPr>
        <w:t>I</w:t>
      </w:r>
      <w:r w:rsidRPr="00D132C8">
        <w:rPr>
          <w:rFonts w:eastAsia="Calibri"/>
          <w:i/>
          <w:iCs/>
          <w:sz w:val="20"/>
          <w:szCs w:val="20"/>
          <w:vertAlign w:val="subscript"/>
        </w:rPr>
        <w:t>aF</w:t>
      </w:r>
      <w:r w:rsidRPr="00D132C8">
        <w:rPr>
          <w:rFonts w:eastAsia="Calibri"/>
          <w:sz w:val="20"/>
          <w:szCs w:val="20"/>
        </w:rPr>
        <w:t xml:space="preserve"> for various synthetic distributions</w:t>
      </w:r>
      <w:bookmarkEnd w:id="56"/>
    </w:p>
    <w:tbl>
      <w:tblPr>
        <w:tblStyle w:val="TableGrid3"/>
        <w:tblW w:w="119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413"/>
        <w:gridCol w:w="2551"/>
        <w:gridCol w:w="3402"/>
        <w:gridCol w:w="4536"/>
      </w:tblGrid>
      <w:tr w:rsidR="00D339F4" w:rsidRPr="00D132C8" w:rsidTr="00D132C8">
        <w:trPr>
          <w:trHeight w:hRule="exact" w:val="433"/>
          <w:jc w:val="center"/>
        </w:trPr>
        <w:tc>
          <w:tcPr>
            <w:tcW w:w="1413" w:type="dxa"/>
            <w:tcBorders>
              <w:top w:val="single" w:sz="4" w:space="0" w:color="auto"/>
              <w:bottom w:val="single" w:sz="4" w:space="0" w:color="auto"/>
            </w:tcBorders>
            <w:vAlign w:val="bottom"/>
          </w:tcPr>
          <w:p w:rsidR="00D339F4" w:rsidRPr="00D132C8" w:rsidRDefault="00D339F4" w:rsidP="00D339F4">
            <w:pPr>
              <w:rPr>
                <w:rFonts w:eastAsia="Calibri"/>
                <w:sz w:val="20"/>
                <w:szCs w:val="20"/>
              </w:rPr>
            </w:pPr>
            <w:r w:rsidRPr="00D132C8">
              <w:rPr>
                <w:rFonts w:eastAsia="Calibri"/>
                <w:sz w:val="20"/>
                <w:szCs w:val="20"/>
              </w:rPr>
              <w:t xml:space="preserve">Distribution </w:t>
            </w:r>
          </w:p>
        </w:tc>
        <w:tc>
          <w:tcPr>
            <w:tcW w:w="2551" w:type="dxa"/>
            <w:tcBorders>
              <w:top w:val="single" w:sz="4" w:space="0" w:color="auto"/>
              <w:bottom w:val="single" w:sz="4" w:space="0" w:color="auto"/>
            </w:tcBorders>
            <w:vAlign w:val="bottom"/>
          </w:tcPr>
          <w:p w:rsidR="00D339F4" w:rsidRPr="00D132C8" w:rsidRDefault="00D339F4" w:rsidP="00D132C8">
            <w:pPr>
              <w:jc w:val="center"/>
              <w:rPr>
                <w:rFonts w:eastAsia="Calibri"/>
                <w:sz w:val="20"/>
                <w:szCs w:val="20"/>
              </w:rPr>
            </w:pPr>
            <w:r w:rsidRPr="00D132C8">
              <w:rPr>
                <w:rFonts w:eastAsia="Calibri"/>
                <w:sz w:val="20"/>
                <w:szCs w:val="20"/>
              </w:rPr>
              <w:t>Graph</w:t>
            </w:r>
          </w:p>
        </w:tc>
        <w:tc>
          <w:tcPr>
            <w:tcW w:w="3402" w:type="dxa"/>
            <w:tcBorders>
              <w:top w:val="single" w:sz="4" w:space="0" w:color="auto"/>
              <w:bottom w:val="single" w:sz="4" w:space="0" w:color="auto"/>
            </w:tcBorders>
            <w:vAlign w:val="bottom"/>
          </w:tcPr>
          <w:p w:rsidR="00D339F4" w:rsidRPr="00D132C8" w:rsidRDefault="00D339F4" w:rsidP="00D339F4">
            <w:pPr>
              <w:jc w:val="center"/>
              <w:rPr>
                <w:rFonts w:eastAsia="Calibri"/>
                <w:sz w:val="20"/>
                <w:szCs w:val="20"/>
              </w:rPr>
            </w:pPr>
            <w:r w:rsidRPr="00D132C8">
              <w:rPr>
                <w:rFonts w:eastAsia="Calibri"/>
                <w:i/>
                <w:iCs/>
                <w:sz w:val="20"/>
                <w:szCs w:val="20"/>
              </w:rPr>
              <w:t>a</w:t>
            </w:r>
            <w:r w:rsidRPr="00D132C8">
              <w:rPr>
                <w:rFonts w:eastAsia="Calibri"/>
                <w:sz w:val="20"/>
                <w:szCs w:val="20"/>
              </w:rPr>
              <w:t>(</w:t>
            </w:r>
            <w:r w:rsidRPr="00D132C8">
              <w:rPr>
                <w:rFonts w:eastAsia="Calibri"/>
                <w:i/>
                <w:iCs/>
                <w:sz w:val="20"/>
                <w:szCs w:val="20"/>
              </w:rPr>
              <w:t>I</w:t>
            </w:r>
            <w:r w:rsidRPr="00D132C8">
              <w:rPr>
                <w:rFonts w:eastAsia="Calibri"/>
                <w:i/>
                <w:iCs/>
                <w:sz w:val="20"/>
                <w:szCs w:val="20"/>
                <w:vertAlign w:val="subscript"/>
              </w:rPr>
              <w:t>a</w:t>
            </w:r>
            <w:r w:rsidRPr="00D132C8">
              <w:rPr>
                <w:rFonts w:eastAsia="Calibri"/>
                <w:sz w:val="20"/>
                <w:szCs w:val="20"/>
              </w:rPr>
              <w:t>)</w:t>
            </w:r>
          </w:p>
        </w:tc>
        <w:tc>
          <w:tcPr>
            <w:tcW w:w="4536" w:type="dxa"/>
            <w:tcBorders>
              <w:top w:val="single" w:sz="4" w:space="0" w:color="auto"/>
              <w:bottom w:val="single" w:sz="4" w:space="0" w:color="auto"/>
            </w:tcBorders>
            <w:vAlign w:val="bottom"/>
          </w:tcPr>
          <w:p w:rsidR="00D339F4" w:rsidRPr="00D132C8" w:rsidRDefault="00D339F4" w:rsidP="00D339F4">
            <w:pPr>
              <w:jc w:val="center"/>
              <w:rPr>
                <w:rFonts w:eastAsia="Calibri"/>
                <w:sz w:val="20"/>
                <w:szCs w:val="20"/>
              </w:rPr>
            </w:pPr>
            <w:r w:rsidRPr="00D132C8">
              <w:rPr>
                <w:rFonts w:eastAsia="Calibri"/>
                <w:i/>
                <w:iCs/>
                <w:sz w:val="20"/>
                <w:szCs w:val="20"/>
              </w:rPr>
              <w:t>I</w:t>
            </w:r>
            <w:r w:rsidRPr="00D132C8">
              <w:rPr>
                <w:rFonts w:eastAsia="Calibri"/>
                <w:i/>
                <w:iCs/>
                <w:sz w:val="20"/>
                <w:szCs w:val="20"/>
                <w:vertAlign w:val="subscript"/>
              </w:rPr>
              <w:t>aF</w:t>
            </w:r>
          </w:p>
        </w:tc>
      </w:tr>
      <w:tr w:rsidR="00D339F4" w:rsidRPr="00D132C8" w:rsidTr="00D132C8">
        <w:trPr>
          <w:trHeight w:hRule="exact" w:val="2016"/>
          <w:jc w:val="center"/>
        </w:trPr>
        <w:tc>
          <w:tcPr>
            <w:tcW w:w="1413" w:type="dxa"/>
            <w:tcBorders>
              <w:top w:val="single" w:sz="4" w:space="0" w:color="auto"/>
            </w:tcBorders>
            <w:vAlign w:val="center"/>
          </w:tcPr>
          <w:p w:rsidR="00D339F4" w:rsidRPr="00D132C8" w:rsidRDefault="00D339F4" w:rsidP="00D339F4">
            <w:pPr>
              <w:rPr>
                <w:rFonts w:eastAsia="Calibri"/>
                <w:sz w:val="20"/>
                <w:szCs w:val="20"/>
              </w:rPr>
            </w:pPr>
            <w:r w:rsidRPr="00D132C8">
              <w:rPr>
                <w:rFonts w:eastAsia="Calibri"/>
                <w:sz w:val="20"/>
                <w:szCs w:val="20"/>
              </w:rPr>
              <w:t>Uniform</w:t>
            </w:r>
          </w:p>
        </w:tc>
        <w:tc>
          <w:tcPr>
            <w:tcW w:w="2551" w:type="dxa"/>
            <w:tcBorders>
              <w:top w:val="single" w:sz="4" w:space="0" w:color="auto"/>
            </w:tcBorders>
            <w:vAlign w:val="center"/>
          </w:tcPr>
          <w:p w:rsidR="00D339F4" w:rsidRPr="00D132C8" w:rsidRDefault="00D339F4" w:rsidP="00D132C8">
            <w:pPr>
              <w:spacing w:before="20"/>
              <w:rPr>
                <w:rFonts w:eastAsia="Calibri"/>
                <w:position w:val="-32"/>
                <w:sz w:val="20"/>
                <w:szCs w:val="20"/>
              </w:rPr>
            </w:pPr>
            <w:r w:rsidRPr="00D132C8">
              <w:rPr>
                <w:rFonts w:eastAsia="Calibri"/>
                <w:noProof/>
                <w:position w:val="-32"/>
                <w:sz w:val="20"/>
                <w:szCs w:val="20"/>
              </w:rPr>
              <w:drawing>
                <wp:inline distT="0" distB="0" distL="0" distR="0" wp14:anchorId="1F663DEC" wp14:editId="306237AA">
                  <wp:extent cx="1340640" cy="1085040"/>
                  <wp:effectExtent l="0" t="0" r="0" b="1270"/>
                  <wp:docPr id="39" name="Picture 0" descr="uni emf.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emf.EMF"/>
                          <pic:cNvPicPr/>
                        </pic:nvPicPr>
                        <pic:blipFill>
                          <a:blip r:embed="rId43" cstate="print"/>
                          <a:stretch>
                            <a:fillRect/>
                          </a:stretch>
                        </pic:blipFill>
                        <pic:spPr>
                          <a:xfrm>
                            <a:off x="0" y="0"/>
                            <a:ext cx="1340640" cy="1085040"/>
                          </a:xfrm>
                          <a:prstGeom prst="rect">
                            <a:avLst/>
                          </a:prstGeom>
                        </pic:spPr>
                      </pic:pic>
                    </a:graphicData>
                  </a:graphic>
                </wp:inline>
              </w:drawing>
            </w:r>
          </w:p>
        </w:tc>
        <w:tc>
          <w:tcPr>
            <w:tcW w:w="3402" w:type="dxa"/>
            <w:tcBorders>
              <w:top w:val="single" w:sz="4" w:space="0" w:color="auto"/>
            </w:tcBorders>
            <w:vAlign w:val="center"/>
          </w:tcPr>
          <w:p w:rsidR="00D339F4" w:rsidRPr="00D132C8" w:rsidRDefault="00CB311D" w:rsidP="00D339F4">
            <w:pPr>
              <w:jc w:val="center"/>
              <w:rPr>
                <w:rFonts w:eastAsia="Calibri"/>
                <w:sz w:val="20"/>
                <w:szCs w:val="20"/>
              </w:rPr>
            </w:pPr>
            <w:r>
              <w:rPr>
                <w:rFonts w:eastAsia="Calibri"/>
                <w:position w:val="-32"/>
                <w:sz w:val="20"/>
                <w:szCs w:val="20"/>
              </w:rPr>
              <w:pict>
                <v:shape id="_x0000_i1047" type="#_x0000_t75" style="width:27.6pt;height:27.6pt">
                  <v:imagedata r:id="rId44" o:title=""/>
                </v:shape>
              </w:pict>
            </w:r>
          </w:p>
        </w:tc>
        <w:tc>
          <w:tcPr>
            <w:tcW w:w="4536" w:type="dxa"/>
            <w:tcBorders>
              <w:top w:val="single" w:sz="4" w:space="0" w:color="auto"/>
            </w:tcBorders>
            <w:vAlign w:val="center"/>
          </w:tcPr>
          <w:p w:rsidR="00D339F4" w:rsidRPr="00D132C8" w:rsidRDefault="00CB311D" w:rsidP="00D339F4">
            <w:pPr>
              <w:jc w:val="center"/>
              <w:rPr>
                <w:rFonts w:eastAsia="Calibri"/>
                <w:sz w:val="20"/>
                <w:szCs w:val="20"/>
              </w:rPr>
            </w:pPr>
            <w:r>
              <w:rPr>
                <w:rFonts w:eastAsia="Calibri"/>
                <w:position w:val="-32"/>
                <w:sz w:val="20"/>
                <w:szCs w:val="20"/>
              </w:rPr>
              <w:pict>
                <v:shape id="_x0000_i1048" type="#_x0000_t75" style="width:48pt;height:29.4pt">
                  <v:imagedata r:id="rId45" o:title=""/>
                </v:shape>
              </w:pict>
            </w:r>
          </w:p>
        </w:tc>
      </w:tr>
      <w:tr w:rsidR="00D339F4" w:rsidRPr="00D132C8" w:rsidTr="00D132C8">
        <w:trPr>
          <w:trHeight w:hRule="exact" w:val="2016"/>
          <w:jc w:val="center"/>
        </w:trPr>
        <w:tc>
          <w:tcPr>
            <w:tcW w:w="1413" w:type="dxa"/>
            <w:shd w:val="clear" w:color="auto" w:fill="auto"/>
            <w:vAlign w:val="center"/>
          </w:tcPr>
          <w:p w:rsidR="00D339F4" w:rsidRPr="00D132C8" w:rsidRDefault="00D339F4" w:rsidP="00D339F4">
            <w:pPr>
              <w:rPr>
                <w:rFonts w:eastAsia="Calibri"/>
                <w:sz w:val="20"/>
                <w:szCs w:val="20"/>
              </w:rPr>
            </w:pPr>
            <w:r w:rsidRPr="00D132C8">
              <w:rPr>
                <w:rFonts w:eastAsia="Calibri"/>
                <w:sz w:val="20"/>
                <w:szCs w:val="20"/>
              </w:rPr>
              <w:t>Normal</w:t>
            </w:r>
          </w:p>
        </w:tc>
        <w:tc>
          <w:tcPr>
            <w:tcW w:w="2551" w:type="dxa"/>
            <w:shd w:val="clear" w:color="auto" w:fill="auto"/>
            <w:vAlign w:val="center"/>
          </w:tcPr>
          <w:p w:rsidR="00D339F4" w:rsidRPr="00D132C8" w:rsidRDefault="00D339F4" w:rsidP="00D132C8">
            <w:pPr>
              <w:rPr>
                <w:rFonts w:eastAsia="Calibri"/>
                <w:position w:val="-46"/>
                <w:sz w:val="20"/>
                <w:szCs w:val="20"/>
              </w:rPr>
            </w:pPr>
            <w:r w:rsidRPr="00D132C8">
              <w:rPr>
                <w:rFonts w:eastAsia="Calibri"/>
                <w:noProof/>
                <w:position w:val="-46"/>
                <w:sz w:val="20"/>
                <w:szCs w:val="20"/>
              </w:rPr>
              <w:drawing>
                <wp:inline distT="0" distB="0" distL="0" distR="0" wp14:anchorId="42FE3FB0" wp14:editId="2EDE0EFE">
                  <wp:extent cx="1340640" cy="1086120"/>
                  <wp:effectExtent l="0" t="0" r="0" b="0"/>
                  <wp:docPr id="40" name="Picture 1" descr="norm emf.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 emf.EMF"/>
                          <pic:cNvPicPr/>
                        </pic:nvPicPr>
                        <pic:blipFill>
                          <a:blip r:embed="rId46" cstate="print"/>
                          <a:stretch>
                            <a:fillRect/>
                          </a:stretch>
                        </pic:blipFill>
                        <pic:spPr>
                          <a:xfrm>
                            <a:off x="0" y="0"/>
                            <a:ext cx="1340640" cy="1086120"/>
                          </a:xfrm>
                          <a:prstGeom prst="rect">
                            <a:avLst/>
                          </a:prstGeom>
                        </pic:spPr>
                      </pic:pic>
                    </a:graphicData>
                  </a:graphic>
                </wp:inline>
              </w:drawing>
            </w:r>
          </w:p>
        </w:tc>
        <w:tc>
          <w:tcPr>
            <w:tcW w:w="3402" w:type="dxa"/>
            <w:shd w:val="clear" w:color="auto" w:fill="auto"/>
            <w:vAlign w:val="center"/>
          </w:tcPr>
          <w:p w:rsidR="00D339F4" w:rsidRPr="00D132C8" w:rsidRDefault="00CB311D" w:rsidP="00D339F4">
            <w:pPr>
              <w:jc w:val="center"/>
              <w:rPr>
                <w:rFonts w:eastAsia="Calibri"/>
                <w:sz w:val="20"/>
                <w:szCs w:val="20"/>
              </w:rPr>
            </w:pPr>
            <w:r>
              <w:rPr>
                <w:rFonts w:eastAsia="Calibri"/>
                <w:position w:val="-28"/>
                <w:sz w:val="20"/>
                <w:szCs w:val="20"/>
              </w:rPr>
              <w:pict>
                <v:shape id="_x0000_i1049" type="#_x0000_t75" style="width:105pt;height:31.2pt">
                  <v:imagedata r:id="rId47" o:title=""/>
                </v:shape>
              </w:pict>
            </w:r>
          </w:p>
        </w:tc>
        <w:tc>
          <w:tcPr>
            <w:tcW w:w="4536" w:type="dxa"/>
            <w:shd w:val="clear" w:color="auto" w:fill="auto"/>
            <w:vAlign w:val="center"/>
          </w:tcPr>
          <w:p w:rsidR="00D339F4" w:rsidRPr="00D132C8" w:rsidRDefault="00CB311D" w:rsidP="00D339F4">
            <w:pPr>
              <w:tabs>
                <w:tab w:val="center" w:pos="490"/>
                <w:tab w:val="right" w:pos="980"/>
              </w:tabs>
              <w:jc w:val="center"/>
              <w:rPr>
                <w:rFonts w:eastAsia="Calibri"/>
                <w:sz w:val="20"/>
                <w:szCs w:val="20"/>
              </w:rPr>
            </w:pPr>
            <w:r>
              <w:rPr>
                <w:rFonts w:eastAsia="Calibri"/>
                <w:position w:val="-52"/>
                <w:sz w:val="20"/>
                <w:szCs w:val="20"/>
              </w:rPr>
              <w:pict>
                <v:shape id="_x0000_i1050" type="#_x0000_t75" style="width:167.4pt;height:57pt">
                  <v:imagedata r:id="rId48" o:title=""/>
                </v:shape>
              </w:pict>
            </w:r>
          </w:p>
        </w:tc>
      </w:tr>
      <w:tr w:rsidR="00D339F4" w:rsidRPr="00D132C8" w:rsidTr="00EB26E0">
        <w:trPr>
          <w:trHeight w:hRule="exact" w:val="2016"/>
          <w:jc w:val="center"/>
        </w:trPr>
        <w:tc>
          <w:tcPr>
            <w:tcW w:w="1413" w:type="dxa"/>
            <w:vAlign w:val="center"/>
          </w:tcPr>
          <w:p w:rsidR="00D339F4" w:rsidRPr="00D132C8" w:rsidRDefault="00D339F4" w:rsidP="00D339F4">
            <w:pPr>
              <w:rPr>
                <w:rFonts w:eastAsia="Calibri"/>
                <w:sz w:val="20"/>
                <w:szCs w:val="20"/>
              </w:rPr>
            </w:pPr>
            <w:r w:rsidRPr="00D132C8">
              <w:rPr>
                <w:rFonts w:eastAsia="Calibri"/>
                <w:sz w:val="20"/>
                <w:szCs w:val="20"/>
              </w:rPr>
              <w:t>Triangular</w:t>
            </w:r>
          </w:p>
        </w:tc>
        <w:tc>
          <w:tcPr>
            <w:tcW w:w="2551" w:type="dxa"/>
            <w:vAlign w:val="center"/>
          </w:tcPr>
          <w:p w:rsidR="00D339F4" w:rsidRPr="00D132C8" w:rsidRDefault="00D339F4" w:rsidP="00D132C8">
            <w:pPr>
              <w:rPr>
                <w:rFonts w:eastAsia="Calibri"/>
                <w:position w:val="-72"/>
                <w:sz w:val="20"/>
                <w:szCs w:val="20"/>
              </w:rPr>
            </w:pPr>
            <w:r w:rsidRPr="00D132C8">
              <w:rPr>
                <w:rFonts w:eastAsia="Calibri"/>
                <w:noProof/>
                <w:position w:val="-72"/>
                <w:sz w:val="20"/>
                <w:szCs w:val="20"/>
              </w:rPr>
              <w:drawing>
                <wp:inline distT="0" distB="0" distL="0" distR="0" wp14:anchorId="17F1E7C3" wp14:editId="3654F43D">
                  <wp:extent cx="1319400" cy="1060200"/>
                  <wp:effectExtent l="0" t="0" r="0" b="6985"/>
                  <wp:docPr id="41" name="Picture 3" descr="tri emf.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 emf.EMF"/>
                          <pic:cNvPicPr/>
                        </pic:nvPicPr>
                        <pic:blipFill>
                          <a:blip r:embed="rId49" cstate="print"/>
                          <a:stretch>
                            <a:fillRect/>
                          </a:stretch>
                        </pic:blipFill>
                        <pic:spPr>
                          <a:xfrm>
                            <a:off x="0" y="0"/>
                            <a:ext cx="1319400" cy="1060200"/>
                          </a:xfrm>
                          <a:prstGeom prst="rect">
                            <a:avLst/>
                          </a:prstGeom>
                        </pic:spPr>
                      </pic:pic>
                    </a:graphicData>
                  </a:graphic>
                </wp:inline>
              </w:drawing>
            </w:r>
          </w:p>
        </w:tc>
        <w:tc>
          <w:tcPr>
            <w:tcW w:w="3402" w:type="dxa"/>
            <w:vAlign w:val="center"/>
          </w:tcPr>
          <w:p w:rsidR="00D339F4" w:rsidRPr="00D132C8" w:rsidRDefault="00CB311D" w:rsidP="00D339F4">
            <w:pPr>
              <w:ind w:hanging="108"/>
              <w:jc w:val="center"/>
              <w:rPr>
                <w:rFonts w:eastAsia="Calibri"/>
                <w:sz w:val="20"/>
                <w:szCs w:val="20"/>
              </w:rPr>
            </w:pPr>
            <w:r>
              <w:rPr>
                <w:rFonts w:eastAsia="Calibri"/>
                <w:position w:val="-72"/>
                <w:sz w:val="20"/>
                <w:szCs w:val="20"/>
              </w:rPr>
              <w:pict>
                <v:shape id="_x0000_i1051" type="#_x0000_t75" style="width:133.8pt;height:62.4pt">
                  <v:imagedata r:id="rId50" o:title=""/>
                </v:shape>
              </w:pict>
            </w:r>
          </w:p>
        </w:tc>
        <w:tc>
          <w:tcPr>
            <w:tcW w:w="4536" w:type="dxa"/>
            <w:vAlign w:val="center"/>
          </w:tcPr>
          <w:p w:rsidR="00D339F4" w:rsidRPr="00D132C8" w:rsidRDefault="00CB311D" w:rsidP="00EB26E0">
            <w:pPr>
              <w:ind w:hanging="108"/>
              <w:jc w:val="right"/>
              <w:rPr>
                <w:rFonts w:eastAsia="Calibri"/>
                <w:sz w:val="20"/>
                <w:szCs w:val="20"/>
              </w:rPr>
            </w:pPr>
            <w:r>
              <w:rPr>
                <w:rFonts w:eastAsia="Calibri"/>
                <w:position w:val="-72"/>
                <w:sz w:val="20"/>
                <w:szCs w:val="20"/>
              </w:rPr>
              <w:pict>
                <v:shape id="_x0000_i1052" type="#_x0000_t75" style="width:217.2pt;height:63.6pt">
                  <v:imagedata r:id="rId51" o:title=""/>
                </v:shape>
              </w:pict>
            </w:r>
          </w:p>
        </w:tc>
      </w:tr>
      <w:tr w:rsidR="00D339F4" w:rsidRPr="00D132C8" w:rsidTr="00EB26E0">
        <w:trPr>
          <w:trHeight w:hRule="exact" w:val="2016"/>
          <w:jc w:val="center"/>
        </w:trPr>
        <w:tc>
          <w:tcPr>
            <w:tcW w:w="1413" w:type="dxa"/>
            <w:tcBorders>
              <w:bottom w:val="single" w:sz="4" w:space="0" w:color="auto"/>
            </w:tcBorders>
            <w:shd w:val="clear" w:color="auto" w:fill="auto"/>
            <w:vAlign w:val="center"/>
          </w:tcPr>
          <w:p w:rsidR="00D339F4" w:rsidRPr="00D132C8" w:rsidRDefault="00D339F4" w:rsidP="00D339F4">
            <w:pPr>
              <w:rPr>
                <w:rFonts w:eastAsia="Calibri"/>
                <w:sz w:val="20"/>
                <w:szCs w:val="20"/>
              </w:rPr>
            </w:pPr>
            <w:r w:rsidRPr="00D132C8">
              <w:rPr>
                <w:rFonts w:eastAsia="Calibri"/>
                <w:sz w:val="20"/>
                <w:szCs w:val="20"/>
              </w:rPr>
              <w:t>Bimodal</w:t>
            </w:r>
          </w:p>
        </w:tc>
        <w:tc>
          <w:tcPr>
            <w:tcW w:w="2551" w:type="dxa"/>
            <w:tcBorders>
              <w:bottom w:val="single" w:sz="4" w:space="0" w:color="auto"/>
            </w:tcBorders>
            <w:shd w:val="clear" w:color="auto" w:fill="auto"/>
            <w:vAlign w:val="center"/>
          </w:tcPr>
          <w:p w:rsidR="00D339F4" w:rsidRPr="00D132C8" w:rsidRDefault="00D339F4" w:rsidP="00D132C8">
            <w:pPr>
              <w:ind w:hanging="18"/>
              <w:rPr>
                <w:rFonts w:eastAsia="Calibri"/>
                <w:position w:val="-100"/>
                <w:sz w:val="20"/>
                <w:szCs w:val="20"/>
              </w:rPr>
            </w:pPr>
            <w:r w:rsidRPr="00D132C8">
              <w:rPr>
                <w:rFonts w:eastAsia="Calibri"/>
                <w:noProof/>
                <w:position w:val="-100"/>
                <w:sz w:val="20"/>
                <w:szCs w:val="20"/>
              </w:rPr>
              <w:drawing>
                <wp:inline distT="0" distB="0" distL="0" distR="0" wp14:anchorId="742A9E2D" wp14:editId="22031245">
                  <wp:extent cx="1299240" cy="1053000"/>
                  <wp:effectExtent l="0" t="0" r="0" b="0"/>
                  <wp:docPr id="42" name="Picture 4" descr="bimod emf.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mod emf.EMF"/>
                          <pic:cNvPicPr/>
                        </pic:nvPicPr>
                        <pic:blipFill>
                          <a:blip r:embed="rId52" cstate="print"/>
                          <a:stretch>
                            <a:fillRect/>
                          </a:stretch>
                        </pic:blipFill>
                        <pic:spPr>
                          <a:xfrm>
                            <a:off x="0" y="0"/>
                            <a:ext cx="1299240" cy="1053000"/>
                          </a:xfrm>
                          <a:prstGeom prst="rect">
                            <a:avLst/>
                          </a:prstGeom>
                        </pic:spPr>
                      </pic:pic>
                    </a:graphicData>
                  </a:graphic>
                </wp:inline>
              </w:drawing>
            </w:r>
          </w:p>
        </w:tc>
        <w:tc>
          <w:tcPr>
            <w:tcW w:w="3402" w:type="dxa"/>
            <w:tcBorders>
              <w:bottom w:val="single" w:sz="4" w:space="0" w:color="auto"/>
            </w:tcBorders>
            <w:shd w:val="clear" w:color="auto" w:fill="auto"/>
            <w:vAlign w:val="center"/>
          </w:tcPr>
          <w:p w:rsidR="00D339F4" w:rsidRPr="00D132C8" w:rsidRDefault="00CB311D" w:rsidP="00D339F4">
            <w:pPr>
              <w:ind w:hanging="108"/>
              <w:jc w:val="center"/>
              <w:rPr>
                <w:rFonts w:eastAsia="Calibri"/>
                <w:sz w:val="20"/>
                <w:szCs w:val="20"/>
              </w:rPr>
            </w:pPr>
            <w:r>
              <w:rPr>
                <w:rFonts w:eastAsia="Calibri"/>
                <w:position w:val="-48"/>
                <w:sz w:val="20"/>
                <w:szCs w:val="20"/>
              </w:rPr>
              <w:pict>
                <v:shape id="_x0000_i1053" type="#_x0000_t75" style="width:77.4pt;height:45.6pt">
                  <v:imagedata r:id="rId53" o:title=""/>
                </v:shape>
              </w:pict>
            </w:r>
          </w:p>
        </w:tc>
        <w:tc>
          <w:tcPr>
            <w:tcW w:w="4536" w:type="dxa"/>
            <w:tcBorders>
              <w:bottom w:val="single" w:sz="4" w:space="0" w:color="auto"/>
            </w:tcBorders>
            <w:shd w:val="clear" w:color="auto" w:fill="auto"/>
            <w:vAlign w:val="center"/>
          </w:tcPr>
          <w:p w:rsidR="00D339F4" w:rsidRPr="00D132C8" w:rsidRDefault="00CB311D" w:rsidP="00EB26E0">
            <w:pPr>
              <w:jc w:val="center"/>
              <w:rPr>
                <w:rFonts w:eastAsia="Calibri"/>
                <w:sz w:val="20"/>
                <w:szCs w:val="20"/>
              </w:rPr>
            </w:pPr>
            <w:r>
              <w:rPr>
                <w:rFonts w:eastAsia="Calibri"/>
                <w:position w:val="-90"/>
                <w:sz w:val="20"/>
                <w:szCs w:val="20"/>
              </w:rPr>
              <w:pict>
                <v:shape id="_x0000_i1054" type="#_x0000_t75" style="width:187.8pt;height:81.6pt">
                  <v:imagedata r:id="rId54" o:title=""/>
                </v:shape>
              </w:pict>
            </w:r>
          </w:p>
        </w:tc>
      </w:tr>
    </w:tbl>
    <w:p w:rsidR="00D339F4" w:rsidRPr="00D339F4" w:rsidRDefault="00D339F4" w:rsidP="00D339F4">
      <w:pPr>
        <w:spacing w:line="480" w:lineRule="auto"/>
        <w:rPr>
          <w:rFonts w:eastAsia="Calibri"/>
          <w:szCs w:val="22"/>
        </w:rPr>
        <w:sectPr w:rsidR="00D339F4" w:rsidRPr="00D339F4" w:rsidSect="00D132C8">
          <w:headerReference w:type="default" r:id="rId55"/>
          <w:footerReference w:type="default" r:id="rId56"/>
          <w:pgSz w:w="13608" w:h="11907" w:orient="landscape" w:code="1"/>
          <w:pgMar w:top="936" w:right="567" w:bottom="936" w:left="1338" w:header="720" w:footer="720" w:gutter="0"/>
          <w:lnNumType w:countBy="5"/>
          <w:cols w:space="720"/>
          <w:docGrid w:linePitch="360"/>
        </w:sectPr>
      </w:pPr>
    </w:p>
    <w:p w:rsidR="00EB26E0" w:rsidRDefault="00EB26E0" w:rsidP="00EB26E0">
      <w:pPr>
        <w:spacing w:line="480" w:lineRule="auto"/>
        <w:jc w:val="center"/>
      </w:pPr>
      <w:r w:rsidRPr="00D339F4">
        <w:rPr>
          <w:rFonts w:eastAsia="Calibri"/>
          <w:noProof/>
          <w:szCs w:val="22"/>
        </w:rPr>
        <w:lastRenderedPageBreak/>
        <mc:AlternateContent>
          <mc:Choice Requires="wps">
            <w:drawing>
              <wp:anchor distT="0" distB="0" distL="114300" distR="114300" simplePos="0" relativeHeight="251664384" behindDoc="0" locked="0" layoutInCell="1" allowOverlap="1">
                <wp:simplePos x="0" y="0"/>
                <wp:positionH relativeFrom="column">
                  <wp:posOffset>-99060</wp:posOffset>
                </wp:positionH>
                <wp:positionV relativeFrom="paragraph">
                  <wp:posOffset>4099560</wp:posOffset>
                </wp:positionV>
                <wp:extent cx="6682740" cy="426720"/>
                <wp:effectExtent l="0" t="0" r="3810" b="76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13F3" w:rsidRPr="00EB26E0" w:rsidRDefault="00FD13F3" w:rsidP="00D339F4">
                            <w:pPr>
                              <w:pStyle w:val="Caption"/>
                              <w:rPr>
                                <w:rFonts w:ascii="Arial" w:hAnsi="Arial" w:cs="Arial"/>
                                <w:b w:val="0"/>
                                <w:bCs/>
                                <w:i/>
                                <w:sz w:val="18"/>
                              </w:rPr>
                            </w:pPr>
                            <w:bookmarkStart w:id="57" w:name="_Ref421848482"/>
                            <w:bookmarkStart w:id="58" w:name="_Toc481390028"/>
                            <w:r w:rsidRPr="00EB26E0">
                              <w:rPr>
                                <w:rFonts w:ascii="Arial" w:hAnsi="Arial" w:cs="Arial"/>
                                <w:sz w:val="18"/>
                              </w:rPr>
                              <w:t xml:space="preserve">Figure </w:t>
                            </w:r>
                            <w:r>
                              <w:rPr>
                                <w:rFonts w:ascii="Arial" w:hAnsi="Arial" w:cs="Arial"/>
                                <w:noProof/>
                                <w:sz w:val="18"/>
                              </w:rPr>
                              <w:t>8</w:t>
                            </w:r>
                            <w:bookmarkEnd w:id="57"/>
                            <w:r w:rsidRPr="00EB26E0">
                              <w:rPr>
                                <w:rFonts w:ascii="Arial" w:hAnsi="Arial" w:cs="Arial"/>
                                <w:sz w:val="18"/>
                              </w:rPr>
                              <w:t xml:space="preserve">. </w:t>
                            </w:r>
                            <w:r w:rsidRPr="00EB26E0">
                              <w:rPr>
                                <w:rFonts w:ascii="Arial" w:hAnsi="Arial" w:cs="Arial"/>
                                <w:b w:val="0"/>
                                <w:sz w:val="18"/>
                              </w:rPr>
                              <w:t xml:space="preserve">(a) Various symmetrical distributions of </w:t>
                            </w:r>
                            <w:r w:rsidRPr="00EB26E0">
                              <w:rPr>
                                <w:rFonts w:ascii="Arial" w:hAnsi="Arial" w:cs="Arial"/>
                                <w:b w:val="0"/>
                                <w:i/>
                                <w:sz w:val="18"/>
                              </w:rPr>
                              <w:t>I</w:t>
                            </w:r>
                            <w:r w:rsidRPr="00EB26E0">
                              <w:rPr>
                                <w:rFonts w:ascii="Arial" w:hAnsi="Arial" w:cs="Arial"/>
                                <w:b w:val="0"/>
                                <w:i/>
                                <w:sz w:val="18"/>
                                <w:vertAlign w:val="subscript"/>
                              </w:rPr>
                              <w:t>a</w:t>
                            </w:r>
                            <w:r w:rsidRPr="00EB26E0">
                              <w:rPr>
                                <w:rFonts w:ascii="Arial" w:hAnsi="Arial" w:cs="Arial"/>
                                <w:b w:val="0"/>
                                <w:sz w:val="18"/>
                              </w:rPr>
                              <w:t xml:space="preserve"> with the same minimum (zero), mean (</w:t>
                            </w:r>
                            <w:r w:rsidRPr="00EB26E0">
                              <w:rPr>
                                <w:rFonts w:ascii="Arial" w:hAnsi="Arial" w:cs="Arial"/>
                                <w:b w:val="0"/>
                                <w:i/>
                                <w:sz w:val="18"/>
                              </w:rPr>
                              <w:t>I</w:t>
                            </w:r>
                            <w:r w:rsidRPr="00EB26E0">
                              <w:rPr>
                                <w:rFonts w:ascii="Arial" w:hAnsi="Arial" w:cs="Arial"/>
                                <w:b w:val="0"/>
                                <w:i/>
                                <w:sz w:val="18"/>
                                <w:vertAlign w:val="subscript"/>
                              </w:rPr>
                              <w:t>a</w:t>
                            </w:r>
                            <w:r w:rsidRPr="00EB26E0">
                              <w:rPr>
                                <w:rFonts w:ascii="Arial" w:hAnsi="Arial" w:cs="Arial"/>
                                <w:b w:val="0"/>
                                <w:sz w:val="18"/>
                                <w:vertAlign w:val="subscript"/>
                              </w:rPr>
                              <w:t>,max</w:t>
                            </w:r>
                            <w:r w:rsidRPr="00EB26E0">
                              <w:rPr>
                                <w:rFonts w:ascii="Arial" w:hAnsi="Arial" w:cs="Arial"/>
                                <w:b w:val="0"/>
                                <w:sz w:val="18"/>
                              </w:rPr>
                              <w:t>/2), and maximum (</w:t>
                            </w:r>
                            <w:r w:rsidRPr="00EB26E0">
                              <w:rPr>
                                <w:rFonts w:ascii="Arial" w:hAnsi="Arial" w:cs="Arial"/>
                                <w:b w:val="0"/>
                                <w:i/>
                                <w:sz w:val="18"/>
                              </w:rPr>
                              <w:t>I</w:t>
                            </w:r>
                            <w:r w:rsidRPr="00EB26E0">
                              <w:rPr>
                                <w:rFonts w:ascii="Arial" w:hAnsi="Arial" w:cs="Arial"/>
                                <w:b w:val="0"/>
                                <w:i/>
                                <w:sz w:val="18"/>
                                <w:vertAlign w:val="subscript"/>
                              </w:rPr>
                              <w:t>a</w:t>
                            </w:r>
                            <w:r w:rsidRPr="00EB26E0">
                              <w:rPr>
                                <w:rFonts w:ascii="Arial" w:hAnsi="Arial" w:cs="Arial"/>
                                <w:b w:val="0"/>
                                <w:sz w:val="18"/>
                                <w:vertAlign w:val="subscript"/>
                              </w:rPr>
                              <w:t>,max</w:t>
                            </w:r>
                            <w:r>
                              <w:rPr>
                                <w:rFonts w:ascii="Arial" w:hAnsi="Arial" w:cs="Arial"/>
                                <w:b w:val="0"/>
                                <w:sz w:val="18"/>
                              </w:rPr>
                              <w:t>)</w:t>
                            </w:r>
                            <w:r w:rsidRPr="00EB26E0">
                              <w:rPr>
                                <w:rFonts w:ascii="Arial" w:hAnsi="Arial" w:cs="Arial"/>
                                <w:b w:val="0"/>
                                <w:sz w:val="18"/>
                              </w:rPr>
                              <w:t xml:space="preserve">, (b) the corresponding </w:t>
                            </w:r>
                            <w:r w:rsidRPr="00EB26E0">
                              <w:rPr>
                                <w:rFonts w:ascii="Arial" w:hAnsi="Arial" w:cs="Arial"/>
                                <w:b w:val="0"/>
                                <w:i/>
                                <w:sz w:val="18"/>
                              </w:rPr>
                              <w:t>I</w:t>
                            </w:r>
                            <w:r w:rsidRPr="00EB26E0">
                              <w:rPr>
                                <w:rFonts w:ascii="Arial" w:hAnsi="Arial" w:cs="Arial"/>
                                <w:b w:val="0"/>
                                <w:i/>
                                <w:sz w:val="18"/>
                                <w:vertAlign w:val="subscript"/>
                              </w:rPr>
                              <w:t>aF</w:t>
                            </w:r>
                            <w:r w:rsidRPr="00EB26E0">
                              <w:rPr>
                                <w:rFonts w:ascii="Arial" w:hAnsi="Arial" w:cs="Arial"/>
                                <w:b w:val="0"/>
                                <w:sz w:val="18"/>
                              </w:rPr>
                              <w:t xml:space="preserve"> curves calculated using eq. </w:t>
                            </w:r>
                            <w:r w:rsidRPr="00B615A2">
                              <w:rPr>
                                <w:rFonts w:ascii="Arial" w:hAnsi="Arial" w:cs="Arial"/>
                                <w:b w:val="0"/>
                                <w:sz w:val="18"/>
                              </w:rPr>
                              <w:t>(16)</w:t>
                            </w:r>
                            <w:r w:rsidRPr="00EB26E0">
                              <w:rPr>
                                <w:rFonts w:ascii="Arial" w:hAnsi="Arial" w:cs="Arial"/>
                                <w:b w:val="0"/>
                                <w:sz w:val="18"/>
                              </w:rPr>
                              <w:t>, (c) the corresponding CN</w:t>
                            </w:r>
                            <w:r w:rsidRPr="00EB26E0">
                              <w:rPr>
                                <w:rFonts w:ascii="Arial" w:hAnsi="Arial" w:cs="Arial"/>
                                <w:b w:val="0"/>
                                <w:i/>
                                <w:sz w:val="18"/>
                                <w:vertAlign w:val="subscript"/>
                              </w:rPr>
                              <w:t>W</w:t>
                            </w:r>
                            <w:r w:rsidRPr="00EB26E0">
                              <w:rPr>
                                <w:rFonts w:ascii="Arial" w:hAnsi="Arial" w:cs="Arial"/>
                                <w:b w:val="0"/>
                                <w:sz w:val="18"/>
                              </w:rPr>
                              <w:t xml:space="preserve"> curves calculated using eq. </w:t>
                            </w:r>
                            <w:r w:rsidRPr="00B615A2">
                              <w:rPr>
                                <w:rFonts w:ascii="Arial" w:hAnsi="Arial" w:cs="Arial"/>
                                <w:b w:val="0"/>
                                <w:sz w:val="18"/>
                              </w:rPr>
                              <w:t>(10)</w:t>
                            </w:r>
                            <w:r w:rsidRPr="00EB26E0">
                              <w:rPr>
                                <w:rFonts w:ascii="Arial" w:hAnsi="Arial" w:cs="Arial"/>
                                <w:b w:val="0"/>
                                <w:sz w:val="18"/>
                              </w:rPr>
                              <w:t>.</w:t>
                            </w:r>
                            <w:bookmarkEnd w:id="5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7.8pt;margin-top:322.8pt;width:526.2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" stroked="f">
                <v:textbox>
                  <w:txbxContent>
                    <w:p w:rsidR="00FD13F3" w:rsidRPr="00EB26E0" w:rsidRDefault="00FD13F3" w:rsidP="00D339F4">
                      <w:pPr>
                        <w:pStyle w:val="Caption"/>
                        <w:rPr>
                          <w:rFonts w:ascii="Arial" w:hAnsi="Arial" w:cs="Arial"/>
                          <w:b w:val="0"/>
                          <w:bCs/>
                          <w:i/>
                          <w:sz w:val="18"/>
                        </w:rPr>
                      </w:pPr>
                      <w:bookmarkStart w:id="66" w:name="_Ref421848482"/>
                      <w:bookmarkStart w:id="67" w:name="_Toc481390028"/>
                      <w:r w:rsidRPr="00EB26E0">
                        <w:rPr>
                          <w:rFonts w:ascii="Arial" w:hAnsi="Arial" w:cs="Arial"/>
                          <w:sz w:val="18"/>
                        </w:rPr>
                        <w:t xml:space="preserve">Figure </w:t>
                      </w:r>
                      <w:r>
                        <w:rPr>
                          <w:rFonts w:ascii="Arial" w:hAnsi="Arial" w:cs="Arial"/>
                          <w:noProof/>
                          <w:sz w:val="18"/>
                        </w:rPr>
                        <w:t>8</w:t>
                      </w:r>
                      <w:bookmarkEnd w:id="66"/>
                      <w:r w:rsidRPr="00EB26E0">
                        <w:rPr>
                          <w:rFonts w:ascii="Arial" w:hAnsi="Arial" w:cs="Arial"/>
                          <w:sz w:val="18"/>
                        </w:rPr>
                        <w:t xml:space="preserve">. </w:t>
                      </w:r>
                      <w:r w:rsidRPr="00EB26E0">
                        <w:rPr>
                          <w:rFonts w:ascii="Arial" w:hAnsi="Arial" w:cs="Arial"/>
                          <w:b w:val="0"/>
                          <w:sz w:val="18"/>
                        </w:rPr>
                        <w:t xml:space="preserve">(a) Various symmetrical distributions of </w:t>
                      </w:r>
                      <w:r w:rsidRPr="00EB26E0">
                        <w:rPr>
                          <w:rFonts w:ascii="Arial" w:hAnsi="Arial" w:cs="Arial"/>
                          <w:b w:val="0"/>
                          <w:i/>
                          <w:sz w:val="18"/>
                        </w:rPr>
                        <w:t>I</w:t>
                      </w:r>
                      <w:r w:rsidRPr="00EB26E0">
                        <w:rPr>
                          <w:rFonts w:ascii="Arial" w:hAnsi="Arial" w:cs="Arial"/>
                          <w:b w:val="0"/>
                          <w:i/>
                          <w:sz w:val="18"/>
                          <w:vertAlign w:val="subscript"/>
                        </w:rPr>
                        <w:t>a</w:t>
                      </w:r>
                      <w:r w:rsidRPr="00EB26E0">
                        <w:rPr>
                          <w:rFonts w:ascii="Arial" w:hAnsi="Arial" w:cs="Arial"/>
                          <w:b w:val="0"/>
                          <w:sz w:val="18"/>
                        </w:rPr>
                        <w:t xml:space="preserve"> with the same minimum (zero), mean (</w:t>
                      </w:r>
                      <w:r w:rsidRPr="00EB26E0">
                        <w:rPr>
                          <w:rFonts w:ascii="Arial" w:hAnsi="Arial" w:cs="Arial"/>
                          <w:b w:val="0"/>
                          <w:i/>
                          <w:sz w:val="18"/>
                        </w:rPr>
                        <w:t>I</w:t>
                      </w:r>
                      <w:r w:rsidRPr="00EB26E0">
                        <w:rPr>
                          <w:rFonts w:ascii="Arial" w:hAnsi="Arial" w:cs="Arial"/>
                          <w:b w:val="0"/>
                          <w:i/>
                          <w:sz w:val="18"/>
                          <w:vertAlign w:val="subscript"/>
                        </w:rPr>
                        <w:t>a</w:t>
                      </w:r>
                      <w:r w:rsidRPr="00EB26E0">
                        <w:rPr>
                          <w:rFonts w:ascii="Arial" w:hAnsi="Arial" w:cs="Arial"/>
                          <w:b w:val="0"/>
                          <w:sz w:val="18"/>
                          <w:vertAlign w:val="subscript"/>
                        </w:rPr>
                        <w:t>,max</w:t>
                      </w:r>
                      <w:r w:rsidRPr="00EB26E0">
                        <w:rPr>
                          <w:rFonts w:ascii="Arial" w:hAnsi="Arial" w:cs="Arial"/>
                          <w:b w:val="0"/>
                          <w:sz w:val="18"/>
                        </w:rPr>
                        <w:t>/2), and maximum (</w:t>
                      </w:r>
                      <w:r w:rsidRPr="00EB26E0">
                        <w:rPr>
                          <w:rFonts w:ascii="Arial" w:hAnsi="Arial" w:cs="Arial"/>
                          <w:b w:val="0"/>
                          <w:i/>
                          <w:sz w:val="18"/>
                        </w:rPr>
                        <w:t>I</w:t>
                      </w:r>
                      <w:r w:rsidRPr="00EB26E0">
                        <w:rPr>
                          <w:rFonts w:ascii="Arial" w:hAnsi="Arial" w:cs="Arial"/>
                          <w:b w:val="0"/>
                          <w:i/>
                          <w:sz w:val="18"/>
                          <w:vertAlign w:val="subscript"/>
                        </w:rPr>
                        <w:t>a</w:t>
                      </w:r>
                      <w:r w:rsidRPr="00EB26E0">
                        <w:rPr>
                          <w:rFonts w:ascii="Arial" w:hAnsi="Arial" w:cs="Arial"/>
                          <w:b w:val="0"/>
                          <w:sz w:val="18"/>
                          <w:vertAlign w:val="subscript"/>
                        </w:rPr>
                        <w:t>,max</w:t>
                      </w:r>
                      <w:r>
                        <w:rPr>
                          <w:rFonts w:ascii="Arial" w:hAnsi="Arial" w:cs="Arial"/>
                          <w:b w:val="0"/>
                          <w:sz w:val="18"/>
                        </w:rPr>
                        <w:t>)</w:t>
                      </w:r>
                      <w:r w:rsidRPr="00EB26E0">
                        <w:rPr>
                          <w:rFonts w:ascii="Arial" w:hAnsi="Arial" w:cs="Arial"/>
                          <w:b w:val="0"/>
                          <w:sz w:val="18"/>
                        </w:rPr>
                        <w:t xml:space="preserve">, (b) the corresponding </w:t>
                      </w:r>
                      <w:r w:rsidRPr="00EB26E0">
                        <w:rPr>
                          <w:rFonts w:ascii="Arial" w:hAnsi="Arial" w:cs="Arial"/>
                          <w:b w:val="0"/>
                          <w:i/>
                          <w:sz w:val="18"/>
                        </w:rPr>
                        <w:t>I</w:t>
                      </w:r>
                      <w:r w:rsidRPr="00EB26E0">
                        <w:rPr>
                          <w:rFonts w:ascii="Arial" w:hAnsi="Arial" w:cs="Arial"/>
                          <w:b w:val="0"/>
                          <w:i/>
                          <w:sz w:val="18"/>
                          <w:vertAlign w:val="subscript"/>
                        </w:rPr>
                        <w:t>aF</w:t>
                      </w:r>
                      <w:r w:rsidRPr="00EB26E0">
                        <w:rPr>
                          <w:rFonts w:ascii="Arial" w:hAnsi="Arial" w:cs="Arial"/>
                          <w:b w:val="0"/>
                          <w:sz w:val="18"/>
                        </w:rPr>
                        <w:t xml:space="preserve"> curves calculated using eq. </w:t>
                      </w:r>
                      <w:r w:rsidRPr="00B615A2">
                        <w:rPr>
                          <w:rFonts w:ascii="Arial" w:hAnsi="Arial" w:cs="Arial"/>
                          <w:b w:val="0"/>
                          <w:sz w:val="18"/>
                        </w:rPr>
                        <w:t>(16)</w:t>
                      </w:r>
                      <w:r w:rsidRPr="00EB26E0">
                        <w:rPr>
                          <w:rFonts w:ascii="Arial" w:hAnsi="Arial" w:cs="Arial"/>
                          <w:b w:val="0"/>
                          <w:sz w:val="18"/>
                        </w:rPr>
                        <w:t>, (c) the corresponding CN</w:t>
                      </w:r>
                      <w:r w:rsidRPr="00EB26E0">
                        <w:rPr>
                          <w:rFonts w:ascii="Arial" w:hAnsi="Arial" w:cs="Arial"/>
                          <w:b w:val="0"/>
                          <w:i/>
                          <w:sz w:val="18"/>
                          <w:vertAlign w:val="subscript"/>
                        </w:rPr>
                        <w:t>W</w:t>
                      </w:r>
                      <w:r w:rsidRPr="00EB26E0">
                        <w:rPr>
                          <w:rFonts w:ascii="Arial" w:hAnsi="Arial" w:cs="Arial"/>
                          <w:b w:val="0"/>
                          <w:sz w:val="18"/>
                        </w:rPr>
                        <w:t xml:space="preserve"> curves calculated using eq. </w:t>
                      </w:r>
                      <w:r w:rsidRPr="00B615A2">
                        <w:rPr>
                          <w:rFonts w:ascii="Arial" w:hAnsi="Arial" w:cs="Arial"/>
                          <w:b w:val="0"/>
                          <w:sz w:val="18"/>
                        </w:rPr>
                        <w:t>(10)</w:t>
                      </w:r>
                      <w:r w:rsidRPr="00EB26E0">
                        <w:rPr>
                          <w:rFonts w:ascii="Arial" w:hAnsi="Arial" w:cs="Arial"/>
                          <w:b w:val="0"/>
                          <w:sz w:val="18"/>
                        </w:rPr>
                        <w:t>.</w:t>
                      </w:r>
                      <w:bookmarkEnd w:id="67"/>
                    </w:p>
                  </w:txbxContent>
                </v:textbox>
              </v:shape>
            </w:pict>
          </mc:Fallback>
        </mc:AlternateContent>
      </w:r>
      <w:r w:rsidR="001515F8">
        <w:rPr>
          <w:rFonts w:eastAsia="Calibri"/>
          <w:noProof/>
          <w:szCs w:val="22"/>
        </w:rPr>
        <w:drawing>
          <wp:inline distT="0" distB="0" distL="0" distR="0">
            <wp:extent cx="5839560" cy="409608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ymmetrical Iaf vs P.EMF"/>
                    <pic:cNvPicPr/>
                  </pic:nvPicPr>
                  <pic:blipFill>
                    <a:blip r:embed="rId57" cstate="print">
                      <a:extLst>
                        <a:ext uri="{28A0092B-C50C-407E-A947-70E740481C1C}">
                          <a14:useLocalDpi xmlns:a14="http://schemas.microsoft.com/office/drawing/2010/main" val="0"/>
                        </a:ext>
                      </a:extLst>
                    </a:blip>
                    <a:stretch>
                      <a:fillRect/>
                    </a:stretch>
                  </pic:blipFill>
                  <pic:spPr>
                    <a:xfrm>
                      <a:off x="0" y="0"/>
                      <a:ext cx="5839560" cy="4096080"/>
                    </a:xfrm>
                    <a:prstGeom prst="rect">
                      <a:avLst/>
                    </a:prstGeom>
                  </pic:spPr>
                </pic:pic>
              </a:graphicData>
            </a:graphic>
          </wp:inline>
        </w:drawing>
      </w:r>
    </w:p>
    <w:p w:rsidR="00EB26E0" w:rsidRDefault="00EB26E0" w:rsidP="00EB26E0">
      <w:pPr>
        <w:spacing w:line="480" w:lineRule="auto"/>
        <w:jc w:val="center"/>
      </w:pPr>
    </w:p>
    <w:p w:rsidR="00D339F4" w:rsidRPr="00D339F4" w:rsidRDefault="00D339F4" w:rsidP="00EB26E0">
      <w:pPr>
        <w:pStyle w:val="NormalNew"/>
      </w:pPr>
      <w:r w:rsidRPr="00D339F4">
        <w:t xml:space="preserve">The kurtosis (peakedness) of </w:t>
      </w:r>
      <w:r w:rsidRPr="00D339F4">
        <w:rPr>
          <w:i/>
          <w:iCs/>
        </w:rPr>
        <w:t>a</w:t>
      </w:r>
      <w:r w:rsidRPr="00D339F4">
        <w:t>(</w:t>
      </w:r>
      <w:r w:rsidRPr="00D339F4">
        <w:rPr>
          <w:i/>
          <w:iCs/>
        </w:rPr>
        <w:t>I</w:t>
      </w:r>
      <w:r w:rsidRPr="00D339F4">
        <w:rPr>
          <w:i/>
          <w:iCs/>
          <w:vertAlign w:val="subscript"/>
        </w:rPr>
        <w:t>a</w:t>
      </w:r>
      <w:r w:rsidRPr="00D339F4">
        <w:t xml:space="preserve">) has a major influence on the shapes of </w:t>
      </w:r>
      <w:r w:rsidRPr="00D339F4">
        <w:rPr>
          <w:i/>
          <w:iCs/>
        </w:rPr>
        <w:t>I</w:t>
      </w:r>
      <w:r w:rsidRPr="00D339F4">
        <w:rPr>
          <w:i/>
          <w:iCs/>
          <w:vertAlign w:val="subscript"/>
        </w:rPr>
        <w:t>aF</w:t>
      </w:r>
      <w:r w:rsidRPr="00D339F4">
        <w:t xml:space="preserve"> and CN</w:t>
      </w:r>
      <w:r w:rsidRPr="00D339F4">
        <w:rPr>
          <w:i/>
          <w:vertAlign w:val="subscript"/>
        </w:rPr>
        <w:t>W</w:t>
      </w:r>
      <w:r w:rsidRPr="00D339F4">
        <w:t xml:space="preserve"> plotted as functions of </w:t>
      </w:r>
      <w:r w:rsidRPr="00D339F4">
        <w:rPr>
          <w:i/>
        </w:rPr>
        <w:t>P</w:t>
      </w:r>
      <w:r w:rsidRPr="00D339F4">
        <w:t xml:space="preserve"> (</w:t>
      </w:r>
      <w:r w:rsidR="00B615A2" w:rsidRPr="00B615A2">
        <w:t>Figure 8</w:t>
      </w:r>
      <w:r w:rsidRPr="00D339F4">
        <w:t xml:space="preserve">). The normal distribution has the greatest kurtosis whereas the bimodal distribution has the least. As the kurtosis decreases, the </w:t>
      </w:r>
      <w:r w:rsidRPr="00D339F4">
        <w:rPr>
          <w:i/>
          <w:iCs/>
        </w:rPr>
        <w:t>I</w:t>
      </w:r>
      <w:r w:rsidRPr="00D339F4">
        <w:rPr>
          <w:i/>
          <w:iCs/>
          <w:vertAlign w:val="subscript"/>
        </w:rPr>
        <w:t>aF</w:t>
      </w:r>
      <w:r w:rsidRPr="00D339F4">
        <w:t xml:space="preserve"> and CN</w:t>
      </w:r>
      <w:r w:rsidRPr="00D339F4">
        <w:rPr>
          <w:i/>
          <w:vertAlign w:val="subscript"/>
        </w:rPr>
        <w:t>W</w:t>
      </w:r>
      <w:r w:rsidRPr="00D339F4">
        <w:t xml:space="preserve"> curves deviate further from the bounding lines (</w:t>
      </w:r>
      <w:r w:rsidR="00B615A2" w:rsidRPr="00B615A2">
        <w:t>Figure 8</w:t>
      </w:r>
      <w:r w:rsidRPr="00D339F4">
        <w:t>). When there is a gap in the distribution, as in the case of the bimodal distribution, the corresponding</w:t>
      </w:r>
      <w:r w:rsidRPr="00D339F4">
        <w:rPr>
          <w:i/>
          <w:iCs/>
        </w:rPr>
        <w:t xml:space="preserve"> I</w:t>
      </w:r>
      <w:r w:rsidRPr="00D339F4">
        <w:rPr>
          <w:i/>
          <w:iCs/>
          <w:vertAlign w:val="subscript"/>
        </w:rPr>
        <w:t>aF</w:t>
      </w:r>
      <w:r w:rsidRPr="00D339F4">
        <w:t xml:space="preserve"> curve is linear for the range spanning the gap. This is consistent with the discrete case where </w:t>
      </w:r>
      <w:r w:rsidRPr="00D339F4">
        <w:rPr>
          <w:i/>
          <w:iCs/>
        </w:rPr>
        <w:t>I</w:t>
      </w:r>
      <w:r w:rsidRPr="00D339F4">
        <w:rPr>
          <w:i/>
          <w:iCs/>
          <w:vertAlign w:val="subscript"/>
        </w:rPr>
        <w:t>aF</w:t>
      </w:r>
      <w:r w:rsidRPr="00D339F4">
        <w:t xml:space="preserve"> was represented by line segments for the gaps in between the discrete values of </w:t>
      </w:r>
      <w:r w:rsidRPr="00D339F4">
        <w:rPr>
          <w:i/>
          <w:iCs/>
        </w:rPr>
        <w:t>I</w:t>
      </w:r>
      <w:r w:rsidRPr="00D339F4">
        <w:rPr>
          <w:i/>
          <w:iCs/>
          <w:vertAlign w:val="subscript"/>
        </w:rPr>
        <w:t>ai</w:t>
      </w:r>
      <w:r w:rsidRPr="00D339F4">
        <w:t xml:space="preserve"> (</w:t>
      </w:r>
      <w:r w:rsidR="00B615A2" w:rsidRPr="00B615A2">
        <w:t>Figure 4</w:t>
      </w:r>
      <w:r w:rsidRPr="00D339F4">
        <w:t>).</w:t>
      </w:r>
    </w:p>
    <w:p w:rsidR="009F39C0" w:rsidRPr="00D339F4" w:rsidRDefault="00D339F4" w:rsidP="009F39C0">
      <w:pPr>
        <w:pStyle w:val="NormalNew"/>
      </w:pPr>
      <w:r w:rsidRPr="00D339F4">
        <w:rPr>
          <w:color w:val="000000"/>
        </w:rPr>
        <w:t xml:space="preserve">Skewness </w:t>
      </w:r>
      <w:r w:rsidRPr="00D339F4">
        <w:t xml:space="preserve">of </w:t>
      </w:r>
      <w:r w:rsidRPr="00D339F4">
        <w:rPr>
          <w:i/>
          <w:iCs/>
        </w:rPr>
        <w:t>a</w:t>
      </w:r>
      <w:r w:rsidRPr="00D339F4">
        <w:t>(</w:t>
      </w:r>
      <w:r w:rsidRPr="00D339F4">
        <w:rPr>
          <w:i/>
          <w:iCs/>
        </w:rPr>
        <w:t>I</w:t>
      </w:r>
      <w:r w:rsidRPr="00D339F4">
        <w:rPr>
          <w:i/>
          <w:iCs/>
          <w:vertAlign w:val="subscript"/>
        </w:rPr>
        <w:t>a</w:t>
      </w:r>
      <w:r w:rsidRPr="00D339F4">
        <w:t>) also affects</w:t>
      </w:r>
      <w:r w:rsidRPr="00D339F4">
        <w:rPr>
          <w:color w:val="000000"/>
        </w:rPr>
        <w:t xml:space="preserve"> </w:t>
      </w:r>
      <w:r w:rsidRPr="00D339F4">
        <w:rPr>
          <w:i/>
          <w:iCs/>
          <w:color w:val="000000"/>
        </w:rPr>
        <w:t>I</w:t>
      </w:r>
      <w:r w:rsidRPr="00D339F4">
        <w:rPr>
          <w:i/>
          <w:iCs/>
          <w:color w:val="000000"/>
          <w:vertAlign w:val="subscript"/>
        </w:rPr>
        <w:t>aF</w:t>
      </w:r>
      <w:r w:rsidRPr="00D339F4">
        <w:t xml:space="preserve">, and this is illustrated by an idealized case where an initially uniform distribution is positively skewed </w:t>
      </w:r>
      <w:r w:rsidRPr="00D339F4">
        <w:rPr>
          <w:color w:val="000000"/>
        </w:rPr>
        <w:t>[</w:t>
      </w:r>
      <w:r w:rsidR="00B615A2" w:rsidRPr="00B615A2">
        <w:t>Figure 9</w:t>
      </w:r>
      <w:r w:rsidRPr="00D339F4">
        <w:t>(a) and 9(b</w:t>
      </w:r>
      <w:r w:rsidRPr="00D339F4">
        <w:rPr>
          <w:color w:val="000000"/>
        </w:rPr>
        <w:t xml:space="preserve">)]. The mean of </w:t>
      </w:r>
      <w:r w:rsidRPr="00D339F4">
        <w:rPr>
          <w:i/>
          <w:iCs/>
        </w:rPr>
        <w:t>a</w:t>
      </w:r>
      <w:r w:rsidRPr="00D339F4">
        <w:t>(</w:t>
      </w:r>
      <w:r w:rsidRPr="00D339F4">
        <w:rPr>
          <w:i/>
          <w:iCs/>
        </w:rPr>
        <w:t>I</w:t>
      </w:r>
      <w:r w:rsidRPr="00D339F4">
        <w:rPr>
          <w:i/>
          <w:iCs/>
          <w:vertAlign w:val="subscript"/>
        </w:rPr>
        <w:t>a</w:t>
      </w:r>
      <w:r w:rsidRPr="00D339F4">
        <w:t xml:space="preserve">), which is equal to </w:t>
      </w:r>
      <w:r w:rsidRPr="00D339F4">
        <w:rPr>
          <w:i/>
          <w:iCs/>
        </w:rPr>
        <w:t>I</w:t>
      </w:r>
      <w:r w:rsidRPr="00D339F4">
        <w:rPr>
          <w:i/>
          <w:iCs/>
          <w:vertAlign w:val="subscript"/>
        </w:rPr>
        <w:t>aT</w:t>
      </w:r>
      <w:r w:rsidRPr="00D339F4">
        <w:t xml:space="preserve"> [eq. </w:t>
      </w:r>
      <w:r w:rsidR="00B615A2" w:rsidRPr="00B615A2">
        <w:t>(17)</w:t>
      </w:r>
      <w:r w:rsidRPr="00D339F4">
        <w:t>], decreases w</w:t>
      </w:r>
      <w:r w:rsidRPr="00D339F4">
        <w:rPr>
          <w:color w:val="000000"/>
        </w:rPr>
        <w:t>ith increasing positive skewness</w:t>
      </w:r>
      <w:r w:rsidRPr="00D339F4">
        <w:t xml:space="preserve">. This is important because a land use change such as conversion of forest to urban land is expected </w:t>
      </w:r>
      <w:r w:rsidRPr="00D339F4">
        <w:rPr>
          <w:color w:val="000000"/>
        </w:rPr>
        <w:t xml:space="preserve">to increase the positive skewness (i.e. more low values of </w:t>
      </w:r>
      <w:r w:rsidRPr="00D339F4">
        <w:rPr>
          <w:i/>
          <w:iCs/>
        </w:rPr>
        <w:t>I</w:t>
      </w:r>
      <w:r w:rsidRPr="00D339F4">
        <w:rPr>
          <w:i/>
          <w:iCs/>
          <w:vertAlign w:val="subscript"/>
        </w:rPr>
        <w:t>a</w:t>
      </w:r>
      <w:r w:rsidRPr="00D339F4">
        <w:rPr>
          <w:color w:val="000000"/>
        </w:rPr>
        <w:t xml:space="preserve">). During the conversion, </w:t>
      </w:r>
      <w:r w:rsidRPr="00D339F4">
        <w:rPr>
          <w:i/>
          <w:iCs/>
        </w:rPr>
        <w:t>I</w:t>
      </w:r>
      <w:r w:rsidRPr="00D339F4">
        <w:rPr>
          <w:i/>
          <w:iCs/>
          <w:vertAlign w:val="subscript"/>
        </w:rPr>
        <w:t>a</w:t>
      </w:r>
      <w:r w:rsidRPr="00D339F4">
        <w:rPr>
          <w:vertAlign w:val="subscript"/>
        </w:rPr>
        <w:t>,max</w:t>
      </w:r>
      <w:r w:rsidRPr="00D339F4">
        <w:t xml:space="preserve"> </w:t>
      </w:r>
      <w:r w:rsidRPr="00D339F4">
        <w:rPr>
          <w:color w:val="000000"/>
        </w:rPr>
        <w:t xml:space="preserve">remains unchanged </w:t>
      </w:r>
      <w:r w:rsidRPr="00D339F4">
        <w:t xml:space="preserve">while some forested land remains. When the entire forest is converted, </w:t>
      </w:r>
      <w:r w:rsidRPr="00D339F4">
        <w:rPr>
          <w:i/>
          <w:iCs/>
        </w:rPr>
        <w:t>I</w:t>
      </w:r>
      <w:r w:rsidRPr="00D339F4">
        <w:rPr>
          <w:i/>
          <w:iCs/>
          <w:vertAlign w:val="subscript"/>
        </w:rPr>
        <w:t>a</w:t>
      </w:r>
      <w:r w:rsidRPr="00D339F4">
        <w:rPr>
          <w:vertAlign w:val="subscript"/>
        </w:rPr>
        <w:t>,max</w:t>
      </w:r>
      <w:r w:rsidRPr="00D339F4">
        <w:t xml:space="preserve"> drops to a lower value.</w:t>
      </w:r>
    </w:p>
    <w:p w:rsidR="00A75290" w:rsidRDefault="00D339F4" w:rsidP="00A75290">
      <w:pPr>
        <w:pStyle w:val="NormalNew"/>
      </w:pPr>
      <w:r w:rsidRPr="00D339F4">
        <w:lastRenderedPageBreak/>
        <w:t>The analysis also shows that a watershed cannot be characterized or compared with other watersheds using a single value of CN [such as CN</w:t>
      </w:r>
      <w:r w:rsidRPr="00D339F4">
        <w:rPr>
          <w:vertAlign w:val="subscript"/>
        </w:rPr>
        <w:t>∞</w:t>
      </w:r>
      <w:r w:rsidRPr="00D339F4">
        <w:t xml:space="preserve"> used in asymptotic fitting, eq. </w:t>
      </w:r>
      <w:r w:rsidR="00B615A2" w:rsidRPr="00B615A2">
        <w:t>(7)</w:t>
      </w:r>
      <w:r w:rsidRPr="00D339F4">
        <w:t xml:space="preserve">]. Depending on the distribution of </w:t>
      </w:r>
      <w:r w:rsidRPr="00D339F4">
        <w:rPr>
          <w:iCs/>
        </w:rPr>
        <w:t>heterogeneity</w:t>
      </w:r>
      <w:r w:rsidRPr="00D339F4">
        <w:t xml:space="preserve">, the relative runoff potential of a watershed can be </w:t>
      </w:r>
      <w:r w:rsidRPr="00D339F4">
        <w:rPr>
          <w:i/>
        </w:rPr>
        <w:t>P</w:t>
      </w:r>
      <w:r w:rsidRPr="00D339F4">
        <w:t xml:space="preserve"> dependent. This is illustrated by considering two uniform distributions, uni1 and uni2, where uni2 has a narrower range and a smaller mean than uni1 [</w:t>
      </w:r>
      <w:r w:rsidR="00B615A2" w:rsidRPr="00B615A2">
        <w:t>Figure 9</w:t>
      </w:r>
      <w:r w:rsidRPr="00D339F4">
        <w:t xml:space="preserve">(c)]. For smaller values of </w:t>
      </w:r>
      <w:r w:rsidRPr="00D339F4">
        <w:rPr>
          <w:i/>
        </w:rPr>
        <w:t>P</w:t>
      </w:r>
      <w:r w:rsidRPr="00D339F4">
        <w:t>,</w:t>
      </w:r>
      <w:r w:rsidRPr="00D339F4">
        <w:rPr>
          <w:i/>
          <w:iCs/>
          <w:color w:val="000000"/>
        </w:rPr>
        <w:t xml:space="preserve"> I</w:t>
      </w:r>
      <w:r w:rsidRPr="00D339F4">
        <w:rPr>
          <w:i/>
          <w:iCs/>
          <w:color w:val="000000"/>
          <w:vertAlign w:val="subscript"/>
        </w:rPr>
        <w:t>aF</w:t>
      </w:r>
      <w:r w:rsidRPr="00D339F4">
        <w:rPr>
          <w:iCs/>
          <w:color w:val="000000"/>
          <w:vertAlign w:val="subscript"/>
        </w:rPr>
        <w:t>,</w:t>
      </w:r>
      <w:r w:rsidRPr="00D339F4">
        <w:rPr>
          <w:i/>
          <w:iCs/>
          <w:color w:val="000000"/>
          <w:vertAlign w:val="subscript"/>
        </w:rPr>
        <w:t>uni</w:t>
      </w:r>
      <w:r w:rsidRPr="00D339F4">
        <w:rPr>
          <w:iCs/>
          <w:color w:val="000000"/>
          <w:vertAlign w:val="subscript"/>
        </w:rPr>
        <w:t>1</w:t>
      </w:r>
      <w:r w:rsidRPr="00D339F4">
        <w:t xml:space="preserve"> &lt; </w:t>
      </w:r>
      <w:r w:rsidRPr="00D339F4">
        <w:rPr>
          <w:i/>
          <w:iCs/>
          <w:color w:val="000000"/>
        </w:rPr>
        <w:t>I</w:t>
      </w:r>
      <w:r w:rsidRPr="00D339F4">
        <w:rPr>
          <w:i/>
          <w:iCs/>
          <w:color w:val="000000"/>
          <w:vertAlign w:val="subscript"/>
        </w:rPr>
        <w:t>aF</w:t>
      </w:r>
      <w:r w:rsidRPr="00D339F4">
        <w:rPr>
          <w:iCs/>
          <w:color w:val="000000"/>
          <w:vertAlign w:val="subscript"/>
        </w:rPr>
        <w:t>,</w:t>
      </w:r>
      <w:r w:rsidRPr="00D339F4">
        <w:rPr>
          <w:i/>
          <w:iCs/>
          <w:color w:val="000000"/>
          <w:vertAlign w:val="subscript"/>
        </w:rPr>
        <w:t>uni</w:t>
      </w:r>
      <w:r w:rsidRPr="00D339F4">
        <w:rPr>
          <w:iCs/>
          <w:color w:val="000000"/>
          <w:vertAlign w:val="subscript"/>
        </w:rPr>
        <w:t>2</w:t>
      </w:r>
      <w:r w:rsidRPr="00D339F4">
        <w:t xml:space="preserve"> [</w:t>
      </w:r>
      <w:r w:rsidR="00B615A2" w:rsidRPr="00B615A2">
        <w:t>Figure 9</w:t>
      </w:r>
      <w:r w:rsidRPr="00D339F4">
        <w:t>(d)], and therefore CN</w:t>
      </w:r>
      <w:r w:rsidRPr="00D339F4">
        <w:rPr>
          <w:i/>
          <w:vertAlign w:val="subscript"/>
        </w:rPr>
        <w:t>W</w:t>
      </w:r>
      <w:r w:rsidRPr="00D339F4">
        <w:rPr>
          <w:vertAlign w:val="subscript"/>
        </w:rPr>
        <w:t>,</w:t>
      </w:r>
      <w:r w:rsidRPr="00D339F4">
        <w:rPr>
          <w:i/>
          <w:iCs/>
          <w:color w:val="000000"/>
          <w:vertAlign w:val="subscript"/>
        </w:rPr>
        <w:t>uni</w:t>
      </w:r>
      <w:r w:rsidRPr="00D339F4">
        <w:rPr>
          <w:iCs/>
          <w:color w:val="000000"/>
          <w:vertAlign w:val="subscript"/>
        </w:rPr>
        <w:t>1</w:t>
      </w:r>
      <w:r w:rsidRPr="00D339F4">
        <w:t xml:space="preserve"> &gt; CN</w:t>
      </w:r>
      <w:r w:rsidRPr="00D339F4">
        <w:rPr>
          <w:i/>
          <w:vertAlign w:val="subscript"/>
        </w:rPr>
        <w:t>W</w:t>
      </w:r>
      <w:r w:rsidRPr="00D339F4">
        <w:rPr>
          <w:vertAlign w:val="subscript"/>
        </w:rPr>
        <w:t>,</w:t>
      </w:r>
      <w:r w:rsidRPr="00D339F4">
        <w:rPr>
          <w:i/>
          <w:iCs/>
          <w:color w:val="000000"/>
          <w:vertAlign w:val="subscript"/>
        </w:rPr>
        <w:t>uni</w:t>
      </w:r>
      <w:r w:rsidRPr="00D339F4">
        <w:rPr>
          <w:iCs/>
          <w:color w:val="000000"/>
          <w:vertAlign w:val="subscript"/>
        </w:rPr>
        <w:t>2</w:t>
      </w:r>
      <w:r w:rsidRPr="00D339F4">
        <w:t xml:space="preserve">. However, for larger values of </w:t>
      </w:r>
      <w:r w:rsidRPr="00D339F4">
        <w:rPr>
          <w:i/>
        </w:rPr>
        <w:t>P</w:t>
      </w:r>
      <w:r w:rsidRPr="00D339F4">
        <w:t xml:space="preserve">, the converse is true. Thus, the watershed with uni1 generates more runoff for smaller values of </w:t>
      </w:r>
      <w:r w:rsidRPr="00D339F4">
        <w:rPr>
          <w:i/>
        </w:rPr>
        <w:t>P</w:t>
      </w:r>
      <w:r w:rsidRPr="00D339F4">
        <w:t xml:space="preserve">, whereas the watershed with uni2 generates more runoff for larger values of </w:t>
      </w:r>
      <w:r w:rsidRPr="00D339F4">
        <w:rPr>
          <w:i/>
        </w:rPr>
        <w:t>P</w:t>
      </w:r>
      <w:r w:rsidRPr="00D339F4">
        <w:t>.</w:t>
      </w:r>
    </w:p>
    <w:p w:rsidR="00D339F4" w:rsidRPr="00D339F4" w:rsidRDefault="00D339F4" w:rsidP="00A75290">
      <w:pPr>
        <w:pStyle w:val="NormalNew"/>
        <w:jc w:val="center"/>
      </w:pPr>
      <w:r w:rsidRPr="00D339F4">
        <w:rPr>
          <w:noProof/>
        </w:rPr>
        <w:drawing>
          <wp:inline distT="0" distB="0" distL="0" distR="0" wp14:anchorId="7A8C12EB" wp14:editId="6ABEAAB8">
            <wp:extent cx="5481000" cy="4016160"/>
            <wp:effectExtent l="0" t="0" r="5715" b="3810"/>
            <wp:docPr id="29" name="Picture 1" descr="Skew and Crossover 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w and Crossover 2.EMF"/>
                    <pic:cNvPicPr/>
                  </pic:nvPicPr>
                  <pic:blipFill>
                    <a:blip r:embed="rId58" cstate="print"/>
                    <a:stretch>
                      <a:fillRect/>
                    </a:stretch>
                  </pic:blipFill>
                  <pic:spPr>
                    <a:xfrm>
                      <a:off x="0" y="0"/>
                      <a:ext cx="5481000" cy="4016160"/>
                    </a:xfrm>
                    <a:prstGeom prst="rect">
                      <a:avLst/>
                    </a:prstGeom>
                  </pic:spPr>
                </pic:pic>
              </a:graphicData>
            </a:graphic>
          </wp:inline>
        </w:drawing>
      </w:r>
    </w:p>
    <w:p w:rsidR="00A75290" w:rsidRDefault="00D339F4" w:rsidP="00A75290">
      <w:pPr>
        <w:spacing w:after="200"/>
      </w:pPr>
      <w:bookmarkStart w:id="59" w:name="_Ref430826302"/>
      <w:bookmarkStart w:id="60" w:name="_Toc481390029"/>
      <w:r w:rsidRPr="004F00CE">
        <w:rPr>
          <w:rFonts w:ascii="Arial" w:eastAsia="Calibri" w:hAnsi="Arial" w:cs="Arial"/>
          <w:b/>
          <w:bCs/>
          <w:sz w:val="18"/>
          <w:szCs w:val="18"/>
        </w:rPr>
        <w:t xml:space="preserve">Figure </w:t>
      </w:r>
      <w:r w:rsidR="00B615A2">
        <w:rPr>
          <w:rFonts w:ascii="Arial" w:eastAsia="Calibri" w:hAnsi="Arial" w:cs="Arial"/>
          <w:b/>
          <w:bCs/>
          <w:noProof/>
          <w:sz w:val="18"/>
          <w:szCs w:val="18"/>
        </w:rPr>
        <w:t>9</w:t>
      </w:r>
      <w:bookmarkEnd w:id="59"/>
      <w:r w:rsidRPr="004F00CE">
        <w:rPr>
          <w:rFonts w:ascii="Arial" w:eastAsia="Calibri" w:hAnsi="Arial" w:cs="Arial"/>
          <w:b/>
          <w:bCs/>
          <w:sz w:val="18"/>
          <w:szCs w:val="18"/>
        </w:rPr>
        <w:t xml:space="preserve">. </w:t>
      </w:r>
      <w:r w:rsidRPr="004F00CE">
        <w:rPr>
          <w:rFonts w:ascii="Arial" w:eastAsia="Calibri" w:hAnsi="Arial" w:cs="Arial"/>
          <w:sz w:val="18"/>
          <w:szCs w:val="18"/>
        </w:rPr>
        <w:t xml:space="preserve">Effect of skewness, mean, and range of </w:t>
      </w:r>
      <w:r w:rsidRPr="004F00CE">
        <w:rPr>
          <w:rFonts w:ascii="Arial" w:eastAsia="Calibri" w:hAnsi="Arial" w:cs="Arial"/>
          <w:i/>
          <w:iCs/>
          <w:sz w:val="18"/>
          <w:szCs w:val="18"/>
        </w:rPr>
        <w:t>a</w:t>
      </w:r>
      <w:r w:rsidRPr="004F00CE">
        <w:rPr>
          <w:rFonts w:ascii="Arial" w:eastAsia="Calibri" w:hAnsi="Arial" w:cs="Arial"/>
          <w:sz w:val="18"/>
          <w:szCs w:val="18"/>
        </w:rPr>
        <w:t>(</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w:t>
      </w:r>
      <w:r w:rsidRPr="004F00CE">
        <w:rPr>
          <w:rFonts w:ascii="Arial" w:eastAsia="Calibri" w:hAnsi="Arial" w:cs="Arial"/>
          <w:sz w:val="18"/>
          <w:szCs w:val="18"/>
        </w:rPr>
        <w:t xml:space="preserve">) on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aF</w:t>
      </w:r>
      <w:r w:rsidRPr="004F00CE">
        <w:rPr>
          <w:rFonts w:ascii="Arial" w:eastAsia="Calibri" w:hAnsi="Arial" w:cs="Arial"/>
          <w:sz w:val="18"/>
          <w:szCs w:val="18"/>
        </w:rPr>
        <w:t xml:space="preserve"> (a) uniform, uni (solid), and two positively skewed distributions, skew1 (dashed) and skew2 (dash dot dot) (b)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aF</w:t>
      </w:r>
      <w:r w:rsidRPr="004F00CE">
        <w:rPr>
          <w:rFonts w:ascii="Arial" w:eastAsia="Calibri" w:hAnsi="Arial" w:cs="Arial"/>
          <w:sz w:val="18"/>
          <w:szCs w:val="18"/>
        </w:rPr>
        <w:t xml:space="preserve"> as a function of </w:t>
      </w:r>
      <w:r w:rsidRPr="004F00CE">
        <w:rPr>
          <w:rFonts w:ascii="Arial" w:eastAsia="Calibri" w:hAnsi="Arial" w:cs="Arial"/>
          <w:i/>
          <w:sz w:val="18"/>
          <w:szCs w:val="18"/>
        </w:rPr>
        <w:t>P</w:t>
      </w:r>
      <w:r w:rsidRPr="004F00CE">
        <w:rPr>
          <w:rFonts w:ascii="Arial" w:eastAsia="Calibri" w:hAnsi="Arial" w:cs="Arial"/>
          <w:sz w:val="18"/>
          <w:szCs w:val="18"/>
        </w:rPr>
        <w:t xml:space="preserve"> for the distributions shown in 9a (c) uniform distributions uni1 (solid) and uni2 (dashed) where uni2 has a narrower range of values of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w:t>
      </w:r>
      <w:r w:rsidRPr="004F00CE">
        <w:rPr>
          <w:rFonts w:ascii="Arial" w:eastAsia="Calibri" w:hAnsi="Arial" w:cs="Arial"/>
          <w:sz w:val="18"/>
          <w:szCs w:val="18"/>
        </w:rPr>
        <w:t xml:space="preserve"> and a smaller mean than uni1 (d) </w:t>
      </w:r>
      <w:r w:rsidRPr="004F00CE">
        <w:rPr>
          <w:rFonts w:ascii="Arial" w:eastAsia="Calibri" w:hAnsi="Arial" w:cs="Arial"/>
          <w:i/>
          <w:iCs/>
          <w:sz w:val="18"/>
          <w:szCs w:val="18"/>
        </w:rPr>
        <w:t>I</w:t>
      </w:r>
      <w:r w:rsidRPr="004F00CE">
        <w:rPr>
          <w:rFonts w:ascii="Arial" w:eastAsia="Calibri" w:hAnsi="Arial" w:cs="Arial"/>
          <w:i/>
          <w:iCs/>
          <w:sz w:val="18"/>
          <w:szCs w:val="18"/>
          <w:vertAlign w:val="subscript"/>
        </w:rPr>
        <w:t>aF</w:t>
      </w:r>
      <w:r w:rsidRPr="004F00CE">
        <w:rPr>
          <w:rFonts w:ascii="Arial" w:eastAsia="Calibri" w:hAnsi="Arial" w:cs="Arial"/>
          <w:sz w:val="18"/>
          <w:szCs w:val="18"/>
        </w:rPr>
        <w:t xml:space="preserve"> as a function of </w:t>
      </w:r>
      <w:r w:rsidRPr="004F00CE">
        <w:rPr>
          <w:rFonts w:ascii="Arial" w:eastAsia="Calibri" w:hAnsi="Arial" w:cs="Arial"/>
          <w:i/>
          <w:sz w:val="18"/>
          <w:szCs w:val="18"/>
        </w:rPr>
        <w:t>P</w:t>
      </w:r>
      <w:r w:rsidRPr="004F00CE">
        <w:rPr>
          <w:rFonts w:ascii="Arial" w:eastAsia="Calibri" w:hAnsi="Arial" w:cs="Arial"/>
          <w:sz w:val="18"/>
          <w:szCs w:val="18"/>
        </w:rPr>
        <w:t xml:space="preserve"> for the distributions shown in 9c.</w:t>
      </w:r>
      <w:bookmarkStart w:id="61" w:name="_Toc479817863"/>
      <w:bookmarkStart w:id="62" w:name="_Toc481658239"/>
      <w:bookmarkEnd w:id="60"/>
      <w:r w:rsidR="00A75290" w:rsidRPr="00D339F4">
        <w:t xml:space="preserve"> </w:t>
      </w:r>
    </w:p>
    <w:p w:rsidR="00A75290" w:rsidRDefault="00A75290" w:rsidP="00A75290">
      <w:pPr>
        <w:spacing w:after="200"/>
      </w:pPr>
    </w:p>
    <w:p w:rsidR="00D339F4" w:rsidRPr="00D339F4" w:rsidRDefault="00D339F4" w:rsidP="00A75290">
      <w:pPr>
        <w:pStyle w:val="Heading2"/>
      </w:pPr>
      <w:r w:rsidRPr="00D339F4">
        <w:lastRenderedPageBreak/>
        <w:t xml:space="preserve">3. Effect of Heterogeneity on </w:t>
      </w:r>
      <w:r w:rsidRPr="00D339F4">
        <w:rPr>
          <w:i/>
        </w:rPr>
        <w:t>S</w:t>
      </w:r>
      <w:bookmarkEnd w:id="61"/>
      <w:bookmarkEnd w:id="62"/>
    </w:p>
    <w:p w:rsidR="00D339F4" w:rsidRPr="00D339F4" w:rsidRDefault="00D339F4" w:rsidP="00835E1E">
      <w:pPr>
        <w:pStyle w:val="NormalNew"/>
      </w:pPr>
      <w:r w:rsidRPr="00D339F4">
        <w:t xml:space="preserve">Similar to the case of </w:t>
      </w:r>
      <w:r w:rsidRPr="00D339F4">
        <w:rPr>
          <w:i/>
          <w:iCs/>
          <w:color w:val="000000"/>
        </w:rPr>
        <w:t>I</w:t>
      </w:r>
      <w:r w:rsidRPr="00D339F4">
        <w:rPr>
          <w:i/>
          <w:iCs/>
          <w:color w:val="000000"/>
          <w:vertAlign w:val="subscript"/>
        </w:rPr>
        <w:t>a</w:t>
      </w:r>
      <w:r w:rsidRPr="00D339F4">
        <w:t xml:space="preserve">, the presence of heterogeneity also causes the effective </w:t>
      </w:r>
      <w:r w:rsidRPr="00D339F4">
        <w:rPr>
          <w:i/>
        </w:rPr>
        <w:t>S</w:t>
      </w:r>
      <w:r w:rsidRPr="00D339F4">
        <w:t xml:space="preserve"> of a watershed (</w:t>
      </w:r>
      <w:r w:rsidRPr="00D339F4">
        <w:rPr>
          <w:i/>
        </w:rPr>
        <w:t>S</w:t>
      </w:r>
      <w:r w:rsidRPr="00D339F4">
        <w:rPr>
          <w:i/>
          <w:vertAlign w:val="subscript"/>
        </w:rPr>
        <w:t>W</w:t>
      </w:r>
      <w:r w:rsidRPr="00D339F4">
        <w:t xml:space="preserve">) to vary with </w:t>
      </w:r>
      <w:r w:rsidRPr="00D339F4">
        <w:rPr>
          <w:i/>
        </w:rPr>
        <w:t>P</w:t>
      </w:r>
      <w:r w:rsidRPr="00D339F4">
        <w:t xml:space="preserve">. Functional form of </w:t>
      </w:r>
      <w:r w:rsidRPr="00D339F4">
        <w:rPr>
          <w:i/>
        </w:rPr>
        <w:t>S</w:t>
      </w:r>
      <w:r w:rsidRPr="00D339F4">
        <w:rPr>
          <w:i/>
          <w:vertAlign w:val="subscript"/>
        </w:rPr>
        <w:t>W</w:t>
      </w:r>
      <w:r w:rsidRPr="00D339F4">
        <w:t xml:space="preserve"> depends not only on the potential maximum retentions of the HRUs (</w:t>
      </w:r>
      <w:r w:rsidR="00222F02">
        <w:t xml:space="preserve">values of </w:t>
      </w:r>
      <w:r w:rsidRPr="00D339F4">
        <w:rPr>
          <w:i/>
        </w:rPr>
        <w:t>S</w:t>
      </w:r>
      <w:r w:rsidRPr="00D339F4">
        <w:rPr>
          <w:i/>
          <w:vertAlign w:val="subscript"/>
        </w:rPr>
        <w:t>i</w:t>
      </w:r>
      <w:r w:rsidRPr="00D339F4">
        <w:t>) but also on the</w:t>
      </w:r>
      <w:r w:rsidR="00222F02">
        <w:t xml:space="preserve"> values of</w:t>
      </w:r>
      <w:r w:rsidRPr="00D339F4">
        <w:t xml:space="preserve"> </w:t>
      </w:r>
      <w:r w:rsidRPr="00D339F4">
        <w:rPr>
          <w:i/>
          <w:iCs/>
          <w:color w:val="000000"/>
        </w:rPr>
        <w:t>I</w:t>
      </w:r>
      <w:r w:rsidRPr="00D339F4">
        <w:rPr>
          <w:i/>
          <w:iCs/>
          <w:color w:val="000000"/>
          <w:vertAlign w:val="subscript"/>
        </w:rPr>
        <w:t>ai</w:t>
      </w:r>
      <w:r w:rsidRPr="00D339F4">
        <w:t xml:space="preserve">. </w:t>
      </w:r>
      <w:r w:rsidRPr="00D339F4">
        <w:rPr>
          <w:i/>
        </w:rPr>
        <w:t>S</w:t>
      </w:r>
      <w:r w:rsidRPr="00D339F4">
        <w:rPr>
          <w:i/>
          <w:vertAlign w:val="subscript"/>
        </w:rPr>
        <w:t>W</w:t>
      </w:r>
      <w:r w:rsidRPr="00D339F4">
        <w:t xml:space="preserve"> can be estimated using eq. </w:t>
      </w:r>
      <w:r w:rsidR="00B615A2" w:rsidRPr="00B615A2">
        <w:t>(2)</w:t>
      </w:r>
      <w:r w:rsidRPr="00D339F4">
        <w:t xml:space="preserve"> if the quantities </w:t>
      </w:r>
      <w:r w:rsidRPr="00D339F4">
        <w:rPr>
          <w:i/>
          <w:iCs/>
          <w:color w:val="000000"/>
        </w:rPr>
        <w:t>I</w:t>
      </w:r>
      <w:r w:rsidRPr="00D339F4">
        <w:rPr>
          <w:i/>
          <w:iCs/>
          <w:color w:val="000000"/>
          <w:vertAlign w:val="subscript"/>
        </w:rPr>
        <w:t>aW</w:t>
      </w:r>
      <w:r w:rsidRPr="00D339F4">
        <w:t xml:space="preserve">, </w:t>
      </w:r>
      <w:r w:rsidRPr="00D339F4">
        <w:rPr>
          <w:i/>
        </w:rPr>
        <w:t>Q</w:t>
      </w:r>
      <w:r w:rsidRPr="00D339F4">
        <w:rPr>
          <w:i/>
          <w:vertAlign w:val="subscript"/>
        </w:rPr>
        <w:t>W</w:t>
      </w:r>
      <w:r w:rsidRPr="00D339F4">
        <w:t xml:space="preserve">, and </w:t>
      </w:r>
      <w:r w:rsidRPr="00D339F4">
        <w:rPr>
          <w:i/>
        </w:rPr>
        <w:t>F</w:t>
      </w:r>
      <w:r w:rsidRPr="00D339F4">
        <w:rPr>
          <w:i/>
          <w:vertAlign w:val="subscript"/>
        </w:rPr>
        <w:t>W</w:t>
      </w:r>
      <w:r w:rsidRPr="00D339F4">
        <w:t xml:space="preserve"> are known. A distributed modeling approach can be used to calculate these quantities for a heterogeneous watershed. Distributed CN models, e.g. SWAT (Gassman et al., 2007), commonly calculate </w:t>
      </w:r>
      <w:r w:rsidRPr="00D339F4">
        <w:rPr>
          <w:i/>
        </w:rPr>
        <w:t>Q</w:t>
      </w:r>
      <w:r w:rsidRPr="00D339F4">
        <w:rPr>
          <w:i/>
          <w:vertAlign w:val="subscript"/>
        </w:rPr>
        <w:t>W</w:t>
      </w:r>
      <w:r w:rsidRPr="00D339F4">
        <w:t xml:space="preserve"> as the area-weighted average of </w:t>
      </w:r>
      <w:r w:rsidRPr="00D339F4">
        <w:rPr>
          <w:i/>
          <w:iCs/>
        </w:rPr>
        <w:t>Q</w:t>
      </w:r>
      <w:r w:rsidRPr="00D339F4">
        <w:rPr>
          <w:i/>
          <w:iCs/>
          <w:vertAlign w:val="subscript"/>
        </w:rPr>
        <w:t>i</w:t>
      </w:r>
      <w:r w:rsidRPr="00D339F4">
        <w:t xml:space="preserve">s, and this assumption can also be extended to </w:t>
      </w:r>
      <w:r w:rsidRPr="00D339F4">
        <w:rPr>
          <w:i/>
        </w:rPr>
        <w:t>F</w:t>
      </w:r>
      <w:r w:rsidRPr="00D339F4">
        <w:rPr>
          <w:i/>
          <w:vertAlign w:val="subscript"/>
        </w:rPr>
        <w:t>W</w:t>
      </w:r>
      <w:r w:rsidRPr="00D339F4">
        <w:t>. Thus,</w:t>
      </w:r>
    </w:p>
    <w:p w:rsidR="00D339F4" w:rsidRPr="00D339F4" w:rsidRDefault="00D339F4" w:rsidP="00A06CFF">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60"/>
          <w:szCs w:val="22"/>
        </w:rPr>
        <w:pict>
          <v:shape id="_x0000_i1055" type="#_x0000_t75" style="width:61.8pt;height:65.4pt">
            <v:imagedata r:id="rId59" o:title=""/>
          </v:shape>
        </w:pict>
      </w:r>
      <w:r w:rsidRPr="00D339F4">
        <w:rPr>
          <w:rFonts w:eastAsia="Calibri"/>
          <w:szCs w:val="22"/>
        </w:rPr>
        <w:t xml:space="preserve"> </w:t>
      </w:r>
      <w:r w:rsidRPr="00D339F4">
        <w:rPr>
          <w:rFonts w:eastAsia="Calibri"/>
          <w:szCs w:val="22"/>
        </w:rPr>
        <w:tab/>
      </w:r>
      <w:bookmarkStart w:id="63" w:name="ZEqnNum220873"/>
      <w:r w:rsidRPr="00A06CFF">
        <w:rPr>
          <w:rFonts w:eastAsia="Calibri"/>
          <w:sz w:val="20"/>
          <w:szCs w:val="20"/>
        </w:rPr>
        <w:t>(</w:t>
      </w:r>
      <w:r w:rsidR="00B615A2">
        <w:rPr>
          <w:rFonts w:eastAsia="Calibri"/>
          <w:noProof/>
          <w:sz w:val="20"/>
          <w:szCs w:val="20"/>
        </w:rPr>
        <w:t>21</w:t>
      </w:r>
      <w:r w:rsidRPr="00A06CFF">
        <w:rPr>
          <w:rFonts w:eastAsia="Calibri"/>
          <w:sz w:val="20"/>
          <w:szCs w:val="20"/>
        </w:rPr>
        <w:t>)</w:t>
      </w:r>
      <w:bookmarkEnd w:id="63"/>
    </w:p>
    <w:p w:rsidR="00835E1E" w:rsidRPr="00D339F4" w:rsidRDefault="00D339F4" w:rsidP="00835E1E">
      <w:pPr>
        <w:pStyle w:val="NormalNew"/>
      </w:pPr>
      <w:r w:rsidRPr="00D339F4">
        <w:t xml:space="preserve">Using eq. </w:t>
      </w:r>
      <w:r w:rsidR="00B615A2" w:rsidRPr="00B615A2">
        <w:t>(21)</w:t>
      </w:r>
      <w:r w:rsidRPr="00D339F4">
        <w:t xml:space="preserve"> and applying mass balance [eq. </w:t>
      </w:r>
      <w:r w:rsidR="00B615A2" w:rsidRPr="00B615A2">
        <w:t>(1)</w:t>
      </w:r>
      <w:r w:rsidRPr="00D339F4">
        <w:t xml:space="preserve">] at watershed and HRU scales gives eq. </w:t>
      </w:r>
      <w:r w:rsidR="00B615A2" w:rsidRPr="00B615A2">
        <w:t>(14)</w:t>
      </w:r>
      <w:r w:rsidRPr="00D339F4">
        <w:t xml:space="preserve"> for </w:t>
      </w:r>
      <w:r w:rsidRPr="00D339F4">
        <w:rPr>
          <w:i/>
          <w:iCs/>
          <w:color w:val="000000"/>
        </w:rPr>
        <w:t>I</w:t>
      </w:r>
      <w:r w:rsidRPr="00D339F4">
        <w:rPr>
          <w:i/>
          <w:iCs/>
          <w:color w:val="000000"/>
          <w:vertAlign w:val="subscript"/>
        </w:rPr>
        <w:t>aW</w:t>
      </w:r>
      <w:r w:rsidRPr="00D339F4">
        <w:t>. This shows that</w:t>
      </w:r>
      <w:r w:rsidRPr="00D339F4">
        <w:rPr>
          <w:i/>
          <w:iCs/>
          <w:color w:val="000000"/>
        </w:rPr>
        <w:t xml:space="preserve"> I</w:t>
      </w:r>
      <w:r w:rsidRPr="00D339F4">
        <w:rPr>
          <w:i/>
          <w:iCs/>
          <w:color w:val="000000"/>
          <w:vertAlign w:val="subscript"/>
        </w:rPr>
        <w:t>aW</w:t>
      </w:r>
      <w:r w:rsidRPr="00D339F4">
        <w:t xml:space="preserve"> calculated using a distributed model is equal to </w:t>
      </w:r>
      <w:r w:rsidRPr="00D339F4">
        <w:rPr>
          <w:i/>
          <w:iCs/>
          <w:color w:val="000000"/>
        </w:rPr>
        <w:t>I</w:t>
      </w:r>
      <w:r w:rsidRPr="00D339F4">
        <w:rPr>
          <w:i/>
          <w:iCs/>
          <w:color w:val="000000"/>
          <w:vertAlign w:val="subscript"/>
        </w:rPr>
        <w:t>aF</w:t>
      </w:r>
      <w:r w:rsidRPr="00D339F4">
        <w:t>.</w:t>
      </w:r>
    </w:p>
    <w:p w:rsidR="00835E1E" w:rsidRPr="00D339F4" w:rsidRDefault="00D339F4" w:rsidP="00835E1E">
      <w:pPr>
        <w:pStyle w:val="NormalNew"/>
      </w:pPr>
      <w:r w:rsidRPr="00D339F4">
        <w:t xml:space="preserve">Writing an expression for </w:t>
      </w:r>
      <w:r w:rsidRPr="00D339F4">
        <w:rPr>
          <w:i/>
        </w:rPr>
        <w:t>S</w:t>
      </w:r>
      <w:r w:rsidRPr="00D339F4">
        <w:rPr>
          <w:i/>
          <w:vertAlign w:val="subscript"/>
        </w:rPr>
        <w:t>W</w:t>
      </w:r>
      <w:r w:rsidRPr="00D339F4">
        <w:t xml:space="preserve"> in terms of </w:t>
      </w:r>
      <w:r w:rsidRPr="00D339F4">
        <w:rPr>
          <w:i/>
          <w:iCs/>
          <w:color w:val="000000"/>
        </w:rPr>
        <w:t>I</w:t>
      </w:r>
      <w:r w:rsidRPr="00D339F4">
        <w:rPr>
          <w:i/>
          <w:iCs/>
          <w:color w:val="000000"/>
          <w:vertAlign w:val="subscript"/>
        </w:rPr>
        <w:t>ai</w:t>
      </w:r>
      <w:r w:rsidRPr="00D339F4">
        <w:t xml:space="preserve"> and</w:t>
      </w:r>
      <w:r w:rsidRPr="00D339F4">
        <w:rPr>
          <w:i/>
        </w:rPr>
        <w:t xml:space="preserve"> S</w:t>
      </w:r>
      <w:r w:rsidRPr="00D339F4">
        <w:rPr>
          <w:i/>
          <w:vertAlign w:val="subscript"/>
        </w:rPr>
        <w:t>i</w:t>
      </w:r>
      <w:r w:rsidRPr="00D339F4">
        <w:t xml:space="preserve"> </w:t>
      </w:r>
      <w:r w:rsidR="00222F02">
        <w:t xml:space="preserve">values </w:t>
      </w:r>
      <w:r w:rsidRPr="00D339F4">
        <w:t xml:space="preserve">for a general case of a heterogeneous watershed is cumbersome. Therefore, it is only presented graphically for an example of a heterogeneous watershed. However, an expression for </w:t>
      </w:r>
      <w:r w:rsidRPr="00D339F4">
        <w:rPr>
          <w:i/>
        </w:rPr>
        <w:t>S</w:t>
      </w:r>
      <w:r w:rsidRPr="00D339F4">
        <w:rPr>
          <w:i/>
          <w:vertAlign w:val="subscript"/>
        </w:rPr>
        <w:t>W</w:t>
      </w:r>
      <w:r w:rsidRPr="00D339F4">
        <w:t xml:space="preserve"> can be presented in a compact form for a special case where all the</w:t>
      </w:r>
      <w:r w:rsidR="00222F02">
        <w:t xml:space="preserve"> values of</w:t>
      </w:r>
      <w:r w:rsidRPr="00D339F4">
        <w:rPr>
          <w:i/>
          <w:iCs/>
          <w:color w:val="000000"/>
        </w:rPr>
        <w:t xml:space="preserve"> I</w:t>
      </w:r>
      <w:r w:rsidRPr="00D339F4">
        <w:rPr>
          <w:i/>
          <w:iCs/>
          <w:color w:val="000000"/>
          <w:vertAlign w:val="subscript"/>
        </w:rPr>
        <w:t>ai</w:t>
      </w:r>
      <w:r w:rsidRPr="00D339F4">
        <w:t xml:space="preserve"> are zero as</w:t>
      </w:r>
    </w:p>
    <w:p w:rsidR="00D339F4" w:rsidRPr="00D339F4" w:rsidRDefault="00D339F4" w:rsidP="00A06CFF">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144"/>
          <w:szCs w:val="22"/>
        </w:rPr>
        <w:pict>
          <v:shape id="_x0000_i1056" type="#_x0000_t75" style="width:130.8pt;height:101.4pt">
            <v:imagedata r:id="rId60" o:title=""/>
          </v:shape>
        </w:pict>
      </w:r>
      <w:r w:rsidRPr="00D339F4">
        <w:rPr>
          <w:rFonts w:eastAsia="Calibri"/>
          <w:szCs w:val="22"/>
        </w:rPr>
        <w:t xml:space="preserve"> </w:t>
      </w:r>
      <w:r w:rsidRPr="00D339F4">
        <w:rPr>
          <w:rFonts w:eastAsia="Calibri"/>
          <w:szCs w:val="22"/>
        </w:rPr>
        <w:tab/>
      </w:r>
      <w:r w:rsidRPr="00A06CFF">
        <w:rPr>
          <w:rFonts w:eastAsia="Calibri"/>
          <w:sz w:val="20"/>
          <w:szCs w:val="20"/>
        </w:rPr>
        <w:t>(</w:t>
      </w:r>
      <w:r w:rsidR="00B615A2">
        <w:rPr>
          <w:rFonts w:eastAsia="Calibri"/>
          <w:noProof/>
          <w:sz w:val="20"/>
          <w:szCs w:val="20"/>
        </w:rPr>
        <w:t>22</w:t>
      </w:r>
      <w:r w:rsidRPr="00A06CFF">
        <w:rPr>
          <w:rFonts w:eastAsia="Calibri"/>
          <w:sz w:val="20"/>
          <w:szCs w:val="20"/>
        </w:rPr>
        <w:t>)</w:t>
      </w:r>
    </w:p>
    <w:p w:rsidR="00835E1E" w:rsidRPr="00D339F4" w:rsidRDefault="00D339F4" w:rsidP="00835E1E">
      <w:pPr>
        <w:pStyle w:val="NormalNew"/>
      </w:pPr>
      <w:r w:rsidRPr="00D339F4">
        <w:t xml:space="preserve">Thus, </w:t>
      </w:r>
      <w:r w:rsidRPr="00D339F4">
        <w:rPr>
          <w:i/>
        </w:rPr>
        <w:t>S</w:t>
      </w:r>
      <w:r w:rsidRPr="00D339F4">
        <w:rPr>
          <w:i/>
          <w:vertAlign w:val="subscript"/>
        </w:rPr>
        <w:t>W</w:t>
      </w:r>
      <w:r w:rsidRPr="00D339F4">
        <w:t xml:space="preserve"> varies from the area-weighted harmonic mean </w:t>
      </w:r>
      <w:r w:rsidR="00CB311D">
        <w:rPr>
          <w:position w:val="-32"/>
        </w:rPr>
        <w:pict>
          <v:shape id="_x0000_i1057" type="#_x0000_t75" style="width:49.8pt;height:39.6pt">
            <v:imagedata r:id="rId61" o:title=""/>
          </v:shape>
        </w:pict>
      </w:r>
      <w:r w:rsidRPr="00D339F4">
        <w:t xml:space="preserve">when </w:t>
      </w:r>
      <w:r w:rsidRPr="00D339F4">
        <w:rPr>
          <w:i/>
        </w:rPr>
        <w:t>P</w:t>
      </w:r>
      <w:r w:rsidRPr="00D339F4">
        <w:t xml:space="preserve"> = 0, to the area-weighted arithmetic mean </w:t>
      </w:r>
      <w:r w:rsidR="00CB311D">
        <w:rPr>
          <w:position w:val="-28"/>
        </w:rPr>
        <w:pict>
          <v:shape id="_x0000_i1058" type="#_x0000_t75" style="width:45.6pt;height:34.2pt">
            <v:imagedata r:id="rId62" o:title=""/>
          </v:shape>
        </w:pict>
      </w:r>
      <w:r w:rsidRPr="00D339F4">
        <w:t xml:space="preserve">when </w:t>
      </w:r>
      <w:r w:rsidRPr="00D339F4">
        <w:rPr>
          <w:i/>
        </w:rPr>
        <w:t xml:space="preserve">P </w:t>
      </w:r>
      <w:r w:rsidRPr="00D339F4">
        <w:t xml:space="preserve">&gt;&gt; </w:t>
      </w:r>
      <w:r w:rsidRPr="00D339F4">
        <w:rPr>
          <w:i/>
        </w:rPr>
        <w:t>S</w:t>
      </w:r>
      <w:r w:rsidR="00835E1E">
        <w:t>.</w:t>
      </w:r>
    </w:p>
    <w:p w:rsidR="00D146DB" w:rsidRPr="00D339F4" w:rsidRDefault="00D339F4" w:rsidP="00835E1E">
      <w:pPr>
        <w:pStyle w:val="NormalNew"/>
      </w:pPr>
      <w:r w:rsidRPr="00D339F4">
        <w:t xml:space="preserve">To illustrate the effect of heterogeneity on </w:t>
      </w:r>
      <w:r w:rsidRPr="00D339F4">
        <w:rPr>
          <w:i/>
        </w:rPr>
        <w:t>S</w:t>
      </w:r>
      <w:r w:rsidRPr="00D339F4">
        <w:rPr>
          <w:i/>
          <w:vertAlign w:val="subscript"/>
        </w:rPr>
        <w:t>W</w:t>
      </w:r>
      <w:r w:rsidRPr="00D339F4">
        <w:t xml:space="preserve">, an example watershed with the storage distribution shown in </w:t>
      </w:r>
      <w:r w:rsidRPr="00B832E2">
        <w:t>(</w:t>
      </w:r>
      <w:r w:rsidR="00B615A2" w:rsidRPr="00B615A2">
        <w:t>Table 2</w:t>
      </w:r>
      <w:r w:rsidRPr="00D339F4">
        <w:t xml:space="preserve">) was considered. The variation of </w:t>
      </w:r>
      <w:r w:rsidRPr="00D339F4">
        <w:rPr>
          <w:i/>
        </w:rPr>
        <w:t>S</w:t>
      </w:r>
      <w:r w:rsidRPr="00D339F4">
        <w:rPr>
          <w:i/>
          <w:vertAlign w:val="subscript"/>
        </w:rPr>
        <w:t>W</w:t>
      </w:r>
      <w:r w:rsidRPr="00D339F4">
        <w:t xml:space="preserve"> with </w:t>
      </w:r>
      <w:r w:rsidRPr="00D339F4">
        <w:rPr>
          <w:i/>
        </w:rPr>
        <w:t>P</w:t>
      </w:r>
      <w:r w:rsidRPr="00D339F4">
        <w:t xml:space="preserve"> was analyzed for the cases of</w:t>
      </w:r>
      <w:r w:rsidRPr="00D339F4">
        <w:rPr>
          <w:i/>
          <w:iCs/>
        </w:rPr>
        <w:t xml:space="preserve"> λ</w:t>
      </w:r>
      <w:r w:rsidRPr="00D339F4">
        <w:rPr>
          <w:i/>
          <w:iCs/>
          <w:vertAlign w:val="subscript"/>
        </w:rPr>
        <w:t>i</w:t>
      </w:r>
      <w:r w:rsidRPr="00D339F4">
        <w:t xml:space="preserve"> = 0 and </w:t>
      </w:r>
      <w:r w:rsidRPr="00D339F4">
        <w:rPr>
          <w:i/>
          <w:iCs/>
        </w:rPr>
        <w:t>λ</w:t>
      </w:r>
      <w:r w:rsidRPr="00D339F4">
        <w:rPr>
          <w:i/>
          <w:iCs/>
          <w:vertAlign w:val="subscript"/>
        </w:rPr>
        <w:t>i</w:t>
      </w:r>
      <w:r w:rsidRPr="00D339F4">
        <w:t xml:space="preserve"> = 0.2 (</w:t>
      </w:r>
      <w:r w:rsidR="00B615A2" w:rsidRPr="00B615A2">
        <w:t xml:space="preserve">Figure </w:t>
      </w:r>
      <w:r w:rsidR="00B615A2" w:rsidRPr="00B615A2">
        <w:rPr>
          <w:noProof/>
        </w:rPr>
        <w:t>10</w:t>
      </w:r>
      <w:r w:rsidRPr="00D339F4">
        <w:t xml:space="preserve">). In both cases, </w:t>
      </w:r>
      <w:r w:rsidRPr="00D339F4">
        <w:rPr>
          <w:i/>
        </w:rPr>
        <w:t>S</w:t>
      </w:r>
      <w:r w:rsidRPr="00D339F4">
        <w:rPr>
          <w:i/>
          <w:vertAlign w:val="subscript"/>
        </w:rPr>
        <w:t>W</w:t>
      </w:r>
      <w:r w:rsidRPr="00D339F4">
        <w:t xml:space="preserve"> increases with </w:t>
      </w:r>
      <w:r w:rsidRPr="00D339F4">
        <w:rPr>
          <w:i/>
        </w:rPr>
        <w:t>P</w:t>
      </w:r>
      <w:r w:rsidRPr="00D339F4">
        <w:t xml:space="preserve"> and approaches the area-weighted arithmetic mean, </w:t>
      </w:r>
      <w:r w:rsidRPr="00D339F4">
        <w:rPr>
          <w:i/>
        </w:rPr>
        <w:t>S</w:t>
      </w:r>
      <w:r w:rsidRPr="00D339F4">
        <w:rPr>
          <w:vertAlign w:val="subscript"/>
        </w:rPr>
        <w:t>∞</w:t>
      </w:r>
      <w:r w:rsidRPr="00D339F4">
        <w:t xml:space="preserve">, for large values of </w:t>
      </w:r>
      <w:r w:rsidRPr="00D339F4">
        <w:rPr>
          <w:i/>
        </w:rPr>
        <w:t>P</w:t>
      </w:r>
      <w:r w:rsidRPr="00D339F4">
        <w:t xml:space="preserve">. In the case of </w:t>
      </w:r>
      <w:r w:rsidRPr="00D339F4">
        <w:rPr>
          <w:i/>
          <w:iCs/>
        </w:rPr>
        <w:t>λ</w:t>
      </w:r>
      <w:r w:rsidRPr="00D339F4">
        <w:rPr>
          <w:i/>
          <w:iCs/>
          <w:vertAlign w:val="subscript"/>
        </w:rPr>
        <w:t>i</w:t>
      </w:r>
      <w:r w:rsidRPr="00D339F4">
        <w:t xml:space="preserve"> = 0, the slope of the curve </w:t>
      </w:r>
      <w:r w:rsidRPr="00D339F4">
        <w:lastRenderedPageBreak/>
        <w:t xml:space="preserve">is maximum at the origin, and decreases monotonically with </w:t>
      </w:r>
      <w:r w:rsidRPr="00D339F4">
        <w:rPr>
          <w:i/>
        </w:rPr>
        <w:t>P</w:t>
      </w:r>
      <w:r w:rsidRPr="00D339F4">
        <w:t xml:space="preserve">. In case of </w:t>
      </w:r>
      <w:r w:rsidRPr="00D339F4">
        <w:rPr>
          <w:i/>
          <w:iCs/>
        </w:rPr>
        <w:t>λ</w:t>
      </w:r>
      <w:r w:rsidRPr="00D339F4">
        <w:rPr>
          <w:i/>
          <w:iCs/>
          <w:vertAlign w:val="subscript"/>
        </w:rPr>
        <w:t>i</w:t>
      </w:r>
      <w:r w:rsidRPr="00D339F4">
        <w:t xml:space="preserve"> = 0.2, however, the slope is zero at the origin and generally increases with </w:t>
      </w:r>
      <w:r w:rsidRPr="00D339F4">
        <w:rPr>
          <w:i/>
        </w:rPr>
        <w:t>P</w:t>
      </w:r>
      <w:r w:rsidRPr="00D339F4">
        <w:t xml:space="preserve"> until </w:t>
      </w:r>
      <w:r w:rsidRPr="00D339F4">
        <w:rPr>
          <w:i/>
        </w:rPr>
        <w:t>P</w:t>
      </w:r>
      <w:r w:rsidRPr="00D339F4">
        <w:t xml:space="preserve"> ≈ </w:t>
      </w:r>
      <w:r w:rsidRPr="00D339F4">
        <w:rPr>
          <w:i/>
          <w:iCs/>
        </w:rPr>
        <w:t>I</w:t>
      </w:r>
      <w:r w:rsidRPr="00D339F4">
        <w:rPr>
          <w:i/>
          <w:iCs/>
          <w:vertAlign w:val="subscript"/>
        </w:rPr>
        <w:t>an</w:t>
      </w:r>
      <w:r w:rsidRPr="00D339F4">
        <w:t xml:space="preserve"> = 40 mm (</w:t>
      </w:r>
      <w:r w:rsidRPr="00D339F4">
        <w:rPr>
          <w:i/>
        </w:rPr>
        <w:t>P</w:t>
      </w:r>
      <w:r w:rsidRPr="00D339F4">
        <w:t xml:space="preserve"> ≈ </w:t>
      </w:r>
      <w:r w:rsidRPr="00D339F4">
        <w:rPr>
          <w:i/>
          <w:iCs/>
        </w:rPr>
        <w:t>I</w:t>
      </w:r>
      <w:r w:rsidRPr="00D339F4">
        <w:rPr>
          <w:i/>
          <w:iCs/>
          <w:vertAlign w:val="subscript"/>
        </w:rPr>
        <w:t>a</w:t>
      </w:r>
      <w:r w:rsidRPr="00D339F4">
        <w:rPr>
          <w:vertAlign w:val="subscript"/>
        </w:rPr>
        <w:t>,max</w:t>
      </w:r>
      <w:r w:rsidRPr="00D339F4">
        <w:t xml:space="preserve"> </w:t>
      </w:r>
      <w:r w:rsidRPr="00D339F4">
        <w:rPr>
          <w:iCs/>
        </w:rPr>
        <w:t>for the continuous case</w:t>
      </w:r>
      <w:r w:rsidRPr="00D339F4">
        <w:t xml:space="preserve">), where it reaches its maximum value. Thereafter the slope decreases monotonically with </w:t>
      </w:r>
      <w:r w:rsidRPr="00D339F4">
        <w:rPr>
          <w:i/>
        </w:rPr>
        <w:t>P</w:t>
      </w:r>
      <w:r w:rsidRPr="00D339F4">
        <w:t xml:space="preserve">, giving an S-shaped curve. In other words, the slope generally increases with </w:t>
      </w:r>
      <w:r w:rsidRPr="00D339F4">
        <w:rPr>
          <w:i/>
        </w:rPr>
        <w:t>P</w:t>
      </w:r>
      <w:r w:rsidRPr="00D339F4">
        <w:t xml:space="preserve"> until the entire watershed area contributes to the runoff, and decreases thereafter.</w:t>
      </w:r>
    </w:p>
    <w:p w:rsidR="00D339F4" w:rsidRPr="00536C7A" w:rsidRDefault="00D339F4" w:rsidP="00D339F4">
      <w:pPr>
        <w:keepNext/>
        <w:spacing w:after="200"/>
        <w:rPr>
          <w:rFonts w:eastAsia="Calibri"/>
          <w:bCs/>
          <w:sz w:val="20"/>
          <w:szCs w:val="20"/>
        </w:rPr>
      </w:pPr>
      <w:bookmarkStart w:id="64" w:name="_Ref453489204"/>
      <w:bookmarkStart w:id="65" w:name="_Toc481389991"/>
      <w:r w:rsidRPr="00536C7A">
        <w:rPr>
          <w:rFonts w:eastAsia="Calibri"/>
          <w:b/>
          <w:bCs/>
          <w:sz w:val="20"/>
          <w:szCs w:val="20"/>
        </w:rPr>
        <w:t xml:space="preserve">Table </w:t>
      </w:r>
      <w:r w:rsidR="00B615A2">
        <w:rPr>
          <w:rFonts w:eastAsia="Calibri"/>
          <w:b/>
          <w:bCs/>
          <w:noProof/>
          <w:sz w:val="20"/>
          <w:szCs w:val="20"/>
        </w:rPr>
        <w:t>2</w:t>
      </w:r>
      <w:bookmarkEnd w:id="64"/>
      <w:r w:rsidRPr="00536C7A">
        <w:rPr>
          <w:rFonts w:eastAsia="Calibri"/>
          <w:b/>
          <w:bCs/>
          <w:sz w:val="20"/>
          <w:szCs w:val="20"/>
        </w:rPr>
        <w:t>.</w:t>
      </w:r>
      <w:r w:rsidRPr="00536C7A">
        <w:rPr>
          <w:rFonts w:eastAsia="Calibri"/>
          <w:bCs/>
          <w:sz w:val="20"/>
          <w:szCs w:val="20"/>
        </w:rPr>
        <w:t xml:space="preserve"> Storage distribution in a hypothetical heterogeneous watershed used to illustrate the variation of </w:t>
      </w:r>
      <w:r w:rsidRPr="00536C7A">
        <w:rPr>
          <w:rFonts w:eastAsia="Calibri"/>
          <w:bCs/>
          <w:i/>
          <w:sz w:val="20"/>
          <w:szCs w:val="20"/>
        </w:rPr>
        <w:t>S</w:t>
      </w:r>
      <w:r w:rsidRPr="00536C7A">
        <w:rPr>
          <w:rFonts w:eastAsia="Calibri"/>
          <w:bCs/>
          <w:i/>
          <w:sz w:val="20"/>
          <w:szCs w:val="20"/>
          <w:vertAlign w:val="subscript"/>
        </w:rPr>
        <w:t>W</w:t>
      </w:r>
      <w:r w:rsidRPr="00536C7A">
        <w:rPr>
          <w:rFonts w:eastAsia="Calibri"/>
          <w:bCs/>
          <w:sz w:val="20"/>
          <w:szCs w:val="20"/>
        </w:rPr>
        <w:t xml:space="preserve"> with </w:t>
      </w:r>
      <w:r w:rsidRPr="00536C7A">
        <w:rPr>
          <w:rFonts w:eastAsia="Calibri"/>
          <w:bCs/>
          <w:i/>
          <w:sz w:val="20"/>
          <w:szCs w:val="20"/>
        </w:rPr>
        <w:t>P</w:t>
      </w:r>
      <w:r w:rsidRPr="00536C7A">
        <w:rPr>
          <w:rFonts w:eastAsia="Calibri"/>
          <w:bCs/>
          <w:sz w:val="20"/>
          <w:szCs w:val="20"/>
        </w:rPr>
        <w:t>.</w:t>
      </w:r>
      <w:bookmarkEnd w:id="65"/>
    </w:p>
    <w:tbl>
      <w:tblPr>
        <w:tblStyle w:val="TableGrid3"/>
        <w:tblW w:w="3082" w:type="dxa"/>
        <w:jc w:val="center"/>
        <w:tblLayout w:type="fixed"/>
        <w:tblLook w:val="04A0" w:firstRow="1" w:lastRow="0" w:firstColumn="1" w:lastColumn="0" w:noHBand="0" w:noVBand="1"/>
      </w:tblPr>
      <w:tblGrid>
        <w:gridCol w:w="878"/>
        <w:gridCol w:w="1034"/>
        <w:gridCol w:w="1170"/>
      </w:tblGrid>
      <w:tr w:rsidR="00D339F4" w:rsidRPr="00536C7A" w:rsidTr="00D339F4">
        <w:trPr>
          <w:trHeight w:hRule="exact" w:val="576"/>
          <w:jc w:val="center"/>
        </w:trPr>
        <w:tc>
          <w:tcPr>
            <w:tcW w:w="878" w:type="dxa"/>
            <w:tcBorders>
              <w:left w:val="nil"/>
              <w:bottom w:val="single" w:sz="4" w:space="0" w:color="000000"/>
              <w:right w:val="nil"/>
            </w:tcBorders>
          </w:tcPr>
          <w:p w:rsidR="00D339F4" w:rsidRPr="00536C7A" w:rsidRDefault="00D339F4" w:rsidP="00D339F4">
            <w:pPr>
              <w:spacing w:before="240"/>
              <w:jc w:val="right"/>
              <w:rPr>
                <w:rFonts w:eastAsia="Calibri"/>
                <w:sz w:val="20"/>
                <w:szCs w:val="20"/>
              </w:rPr>
            </w:pPr>
            <w:r w:rsidRPr="00536C7A">
              <w:rPr>
                <w:rFonts w:eastAsia="Calibri"/>
                <w:sz w:val="20"/>
                <w:szCs w:val="20"/>
              </w:rPr>
              <w:t>HRU</w:t>
            </w:r>
          </w:p>
        </w:tc>
        <w:tc>
          <w:tcPr>
            <w:tcW w:w="1034" w:type="dxa"/>
            <w:tcBorders>
              <w:left w:val="nil"/>
              <w:bottom w:val="single" w:sz="4" w:space="0" w:color="000000"/>
              <w:right w:val="nil"/>
            </w:tcBorders>
          </w:tcPr>
          <w:p w:rsidR="00D339F4" w:rsidRPr="00536C7A" w:rsidRDefault="00D339F4" w:rsidP="00D339F4">
            <w:pPr>
              <w:spacing w:before="240"/>
              <w:jc w:val="right"/>
              <w:rPr>
                <w:rFonts w:eastAsia="Calibri"/>
                <w:iCs/>
                <w:sz w:val="20"/>
                <w:szCs w:val="20"/>
              </w:rPr>
            </w:pPr>
            <w:r w:rsidRPr="00536C7A">
              <w:rPr>
                <w:rFonts w:eastAsia="Calibri"/>
                <w:i/>
                <w:iCs/>
                <w:sz w:val="20"/>
                <w:szCs w:val="20"/>
              </w:rPr>
              <w:t>a</w:t>
            </w:r>
            <w:r w:rsidRPr="00536C7A">
              <w:rPr>
                <w:rFonts w:eastAsia="Calibri"/>
                <w:i/>
                <w:iCs/>
                <w:sz w:val="20"/>
                <w:szCs w:val="20"/>
                <w:vertAlign w:val="subscript"/>
              </w:rPr>
              <w:t>i</w:t>
            </w:r>
          </w:p>
        </w:tc>
        <w:tc>
          <w:tcPr>
            <w:tcW w:w="1170" w:type="dxa"/>
            <w:tcBorders>
              <w:left w:val="nil"/>
              <w:bottom w:val="single" w:sz="4" w:space="0" w:color="000000"/>
              <w:right w:val="nil"/>
            </w:tcBorders>
          </w:tcPr>
          <w:p w:rsidR="00D339F4" w:rsidRPr="00536C7A" w:rsidRDefault="00D339F4" w:rsidP="00D339F4">
            <w:pPr>
              <w:spacing w:before="240"/>
              <w:jc w:val="right"/>
              <w:rPr>
                <w:rFonts w:eastAsia="Calibri"/>
                <w:iCs/>
                <w:sz w:val="20"/>
                <w:szCs w:val="20"/>
              </w:rPr>
            </w:pPr>
            <w:r w:rsidRPr="00536C7A">
              <w:rPr>
                <w:rFonts w:eastAsia="Calibri"/>
                <w:i/>
                <w:iCs/>
                <w:sz w:val="20"/>
                <w:szCs w:val="20"/>
              </w:rPr>
              <w:t>S</w:t>
            </w:r>
            <w:r w:rsidRPr="00536C7A">
              <w:rPr>
                <w:rFonts w:eastAsia="Calibri"/>
                <w:i/>
                <w:iCs/>
                <w:sz w:val="20"/>
                <w:szCs w:val="20"/>
                <w:vertAlign w:val="subscript"/>
              </w:rPr>
              <w:t>i</w:t>
            </w:r>
            <w:r w:rsidRPr="00536C7A">
              <w:rPr>
                <w:rFonts w:eastAsia="Calibri"/>
                <w:iCs/>
                <w:sz w:val="20"/>
                <w:szCs w:val="20"/>
              </w:rPr>
              <w:t xml:space="preserve"> (mm)</w:t>
            </w:r>
          </w:p>
        </w:tc>
      </w:tr>
      <w:tr w:rsidR="00D339F4" w:rsidRPr="00536C7A" w:rsidTr="00D339F4">
        <w:trPr>
          <w:trHeight w:hRule="exact" w:val="576"/>
          <w:jc w:val="center"/>
        </w:trPr>
        <w:tc>
          <w:tcPr>
            <w:tcW w:w="878" w:type="dxa"/>
            <w:tcBorders>
              <w:left w:val="nil"/>
              <w:bottom w:val="nil"/>
              <w:right w:val="nil"/>
            </w:tcBorders>
          </w:tcPr>
          <w:p w:rsidR="00D339F4" w:rsidRPr="00536C7A" w:rsidRDefault="00D339F4" w:rsidP="00D339F4">
            <w:pPr>
              <w:spacing w:before="240" w:line="360" w:lineRule="auto"/>
              <w:jc w:val="right"/>
              <w:rPr>
                <w:rFonts w:eastAsia="Calibri"/>
                <w:iCs/>
                <w:sz w:val="20"/>
                <w:szCs w:val="20"/>
              </w:rPr>
            </w:pPr>
            <w:r w:rsidRPr="00536C7A">
              <w:rPr>
                <w:rFonts w:eastAsia="Calibri"/>
                <w:iCs/>
                <w:sz w:val="20"/>
                <w:szCs w:val="20"/>
              </w:rPr>
              <w:t>0</w:t>
            </w:r>
          </w:p>
        </w:tc>
        <w:tc>
          <w:tcPr>
            <w:tcW w:w="1034" w:type="dxa"/>
            <w:tcBorders>
              <w:left w:val="nil"/>
              <w:bottom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0.05</w:t>
            </w:r>
          </w:p>
        </w:tc>
        <w:tc>
          <w:tcPr>
            <w:tcW w:w="1170" w:type="dxa"/>
            <w:tcBorders>
              <w:left w:val="nil"/>
              <w:bottom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0</w:t>
            </w:r>
          </w:p>
        </w:tc>
      </w:tr>
      <w:tr w:rsidR="00D339F4" w:rsidRPr="00536C7A" w:rsidTr="00D339F4">
        <w:trPr>
          <w:trHeight w:hRule="exact" w:val="576"/>
          <w:jc w:val="center"/>
        </w:trPr>
        <w:tc>
          <w:tcPr>
            <w:tcW w:w="878" w:type="dxa"/>
            <w:tcBorders>
              <w:top w:val="nil"/>
              <w:left w:val="nil"/>
              <w:bottom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1</w:t>
            </w:r>
          </w:p>
        </w:tc>
        <w:tc>
          <w:tcPr>
            <w:tcW w:w="1034" w:type="dxa"/>
            <w:tcBorders>
              <w:top w:val="nil"/>
              <w:left w:val="nil"/>
              <w:bottom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0.20</w:t>
            </w:r>
          </w:p>
        </w:tc>
        <w:tc>
          <w:tcPr>
            <w:tcW w:w="1170" w:type="dxa"/>
            <w:tcBorders>
              <w:top w:val="nil"/>
              <w:left w:val="nil"/>
              <w:bottom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50</w:t>
            </w:r>
          </w:p>
        </w:tc>
      </w:tr>
      <w:tr w:rsidR="00D339F4" w:rsidRPr="00536C7A" w:rsidTr="00D339F4">
        <w:trPr>
          <w:trHeight w:hRule="exact" w:val="576"/>
          <w:jc w:val="center"/>
        </w:trPr>
        <w:tc>
          <w:tcPr>
            <w:tcW w:w="878" w:type="dxa"/>
            <w:tcBorders>
              <w:top w:val="nil"/>
              <w:left w:val="nil"/>
              <w:bottom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2</w:t>
            </w:r>
          </w:p>
        </w:tc>
        <w:tc>
          <w:tcPr>
            <w:tcW w:w="1034" w:type="dxa"/>
            <w:tcBorders>
              <w:top w:val="nil"/>
              <w:left w:val="nil"/>
              <w:bottom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0.35</w:t>
            </w:r>
          </w:p>
        </w:tc>
        <w:tc>
          <w:tcPr>
            <w:tcW w:w="1170" w:type="dxa"/>
            <w:tcBorders>
              <w:top w:val="nil"/>
              <w:left w:val="nil"/>
              <w:bottom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100</w:t>
            </w:r>
          </w:p>
        </w:tc>
      </w:tr>
      <w:tr w:rsidR="00D339F4" w:rsidRPr="00536C7A" w:rsidTr="00D339F4">
        <w:trPr>
          <w:trHeight w:hRule="exact" w:val="576"/>
          <w:jc w:val="center"/>
        </w:trPr>
        <w:tc>
          <w:tcPr>
            <w:tcW w:w="878" w:type="dxa"/>
            <w:tcBorders>
              <w:top w:val="nil"/>
              <w:left w:val="nil"/>
              <w:bottom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3</w:t>
            </w:r>
          </w:p>
        </w:tc>
        <w:tc>
          <w:tcPr>
            <w:tcW w:w="1034" w:type="dxa"/>
            <w:tcBorders>
              <w:top w:val="nil"/>
              <w:left w:val="nil"/>
              <w:bottom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0.25</w:t>
            </w:r>
          </w:p>
        </w:tc>
        <w:tc>
          <w:tcPr>
            <w:tcW w:w="1170" w:type="dxa"/>
            <w:tcBorders>
              <w:top w:val="nil"/>
              <w:left w:val="nil"/>
              <w:bottom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150</w:t>
            </w:r>
          </w:p>
        </w:tc>
      </w:tr>
      <w:tr w:rsidR="00D339F4" w:rsidRPr="00536C7A" w:rsidTr="00D339F4">
        <w:trPr>
          <w:trHeight w:hRule="exact" w:val="576"/>
          <w:jc w:val="center"/>
        </w:trPr>
        <w:tc>
          <w:tcPr>
            <w:tcW w:w="878" w:type="dxa"/>
            <w:tcBorders>
              <w:top w:val="nil"/>
              <w:left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4</w:t>
            </w:r>
          </w:p>
        </w:tc>
        <w:tc>
          <w:tcPr>
            <w:tcW w:w="1034" w:type="dxa"/>
            <w:tcBorders>
              <w:top w:val="nil"/>
              <w:left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0.15</w:t>
            </w:r>
          </w:p>
        </w:tc>
        <w:tc>
          <w:tcPr>
            <w:tcW w:w="1170" w:type="dxa"/>
            <w:tcBorders>
              <w:top w:val="nil"/>
              <w:left w:val="nil"/>
              <w:right w:val="nil"/>
            </w:tcBorders>
          </w:tcPr>
          <w:p w:rsidR="00D339F4" w:rsidRPr="00536C7A" w:rsidRDefault="00D339F4" w:rsidP="00D339F4">
            <w:pPr>
              <w:spacing w:before="240" w:after="240" w:line="360" w:lineRule="auto"/>
              <w:jc w:val="right"/>
              <w:rPr>
                <w:rFonts w:eastAsia="Calibri"/>
                <w:iCs/>
                <w:sz w:val="20"/>
                <w:szCs w:val="20"/>
              </w:rPr>
            </w:pPr>
            <w:r w:rsidRPr="00536C7A">
              <w:rPr>
                <w:rFonts w:eastAsia="Calibri"/>
                <w:iCs/>
                <w:sz w:val="20"/>
                <w:szCs w:val="20"/>
              </w:rPr>
              <w:t>200</w:t>
            </w:r>
          </w:p>
        </w:tc>
      </w:tr>
    </w:tbl>
    <w:p w:rsidR="004F00CE" w:rsidRDefault="004F00CE" w:rsidP="00D339F4">
      <w:pPr>
        <w:keepNext/>
        <w:spacing w:line="480" w:lineRule="auto"/>
        <w:jc w:val="center"/>
        <w:rPr>
          <w:rFonts w:eastAsia="Calibri"/>
          <w:noProof/>
          <w:szCs w:val="22"/>
        </w:rPr>
      </w:pPr>
    </w:p>
    <w:p w:rsidR="00D339F4" w:rsidRPr="00D339F4" w:rsidRDefault="00C74C5E" w:rsidP="00D339F4">
      <w:pPr>
        <w:keepNext/>
        <w:spacing w:line="480" w:lineRule="auto"/>
        <w:jc w:val="center"/>
        <w:rPr>
          <w:rFonts w:eastAsia="Calibri"/>
          <w:szCs w:val="22"/>
        </w:rPr>
      </w:pPr>
      <w:r>
        <w:rPr>
          <w:rFonts w:eastAsia="Calibri"/>
          <w:noProof/>
          <w:szCs w:val="22"/>
        </w:rPr>
        <w:drawing>
          <wp:inline distT="0" distB="0" distL="0" distR="0">
            <wp:extent cx="2959560" cy="2223000"/>
            <wp:effectExtent l="0" t="0" r="0" b="635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S vs P.EMF"/>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959560" cy="2223000"/>
                    </a:xfrm>
                    <a:prstGeom prst="rect">
                      <a:avLst/>
                    </a:prstGeom>
                  </pic:spPr>
                </pic:pic>
              </a:graphicData>
            </a:graphic>
          </wp:inline>
        </w:drawing>
      </w:r>
    </w:p>
    <w:p w:rsidR="00D339F4" w:rsidRPr="004F00CE" w:rsidRDefault="00D339F4" w:rsidP="00DF477B">
      <w:pPr>
        <w:spacing w:after="480"/>
        <w:rPr>
          <w:rFonts w:ascii="Arial" w:eastAsia="Calibri" w:hAnsi="Arial" w:cs="Arial"/>
          <w:bCs/>
          <w:sz w:val="18"/>
          <w:szCs w:val="18"/>
        </w:rPr>
      </w:pPr>
      <w:bookmarkStart w:id="66" w:name="_Ref456031177"/>
      <w:bookmarkStart w:id="67" w:name="_Toc481390030"/>
      <w:r w:rsidRPr="004F00CE">
        <w:rPr>
          <w:rFonts w:ascii="Arial" w:eastAsia="Calibri" w:hAnsi="Arial" w:cs="Arial"/>
          <w:b/>
          <w:bCs/>
          <w:sz w:val="18"/>
          <w:szCs w:val="18"/>
        </w:rPr>
        <w:t xml:space="preserve">Figure </w:t>
      </w:r>
      <w:r w:rsidR="00B615A2">
        <w:rPr>
          <w:rFonts w:ascii="Arial" w:eastAsia="Calibri" w:hAnsi="Arial" w:cs="Arial"/>
          <w:b/>
          <w:bCs/>
          <w:noProof/>
          <w:sz w:val="18"/>
          <w:szCs w:val="18"/>
        </w:rPr>
        <w:t>10</w:t>
      </w:r>
      <w:bookmarkEnd w:id="66"/>
      <w:r w:rsidRPr="004F00CE">
        <w:rPr>
          <w:rFonts w:ascii="Arial" w:eastAsia="Calibri" w:hAnsi="Arial" w:cs="Arial"/>
          <w:b/>
          <w:bCs/>
          <w:sz w:val="18"/>
          <w:szCs w:val="18"/>
        </w:rPr>
        <w:t>.</w:t>
      </w:r>
      <w:r w:rsidRPr="004F00CE">
        <w:rPr>
          <w:rFonts w:ascii="Arial" w:eastAsia="Calibri" w:hAnsi="Arial" w:cs="Arial"/>
          <w:bCs/>
          <w:sz w:val="18"/>
          <w:szCs w:val="18"/>
        </w:rPr>
        <w:t xml:space="preserve"> Variation of </w:t>
      </w:r>
      <w:r w:rsidRPr="004F00CE">
        <w:rPr>
          <w:rFonts w:ascii="Arial" w:eastAsia="Calibri" w:hAnsi="Arial" w:cs="Arial"/>
          <w:bCs/>
          <w:i/>
          <w:sz w:val="18"/>
          <w:szCs w:val="18"/>
        </w:rPr>
        <w:t>S</w:t>
      </w:r>
      <w:r w:rsidRPr="004F00CE">
        <w:rPr>
          <w:rFonts w:ascii="Arial" w:eastAsia="Calibri" w:hAnsi="Arial" w:cs="Arial"/>
          <w:bCs/>
          <w:i/>
          <w:sz w:val="18"/>
          <w:szCs w:val="18"/>
          <w:vertAlign w:val="subscript"/>
        </w:rPr>
        <w:t>W</w:t>
      </w:r>
      <w:r w:rsidRPr="004F00CE">
        <w:rPr>
          <w:rFonts w:ascii="Arial" w:eastAsia="Calibri" w:hAnsi="Arial" w:cs="Arial"/>
          <w:bCs/>
          <w:sz w:val="18"/>
          <w:szCs w:val="18"/>
        </w:rPr>
        <w:t xml:space="preserve"> with </w:t>
      </w:r>
      <w:r w:rsidRPr="004F00CE">
        <w:rPr>
          <w:rFonts w:ascii="Arial" w:eastAsia="Calibri" w:hAnsi="Arial" w:cs="Arial"/>
          <w:bCs/>
          <w:i/>
          <w:sz w:val="18"/>
          <w:szCs w:val="18"/>
        </w:rPr>
        <w:t>P</w:t>
      </w:r>
      <w:r w:rsidRPr="004F00CE">
        <w:rPr>
          <w:rFonts w:ascii="Arial" w:eastAsia="Calibri" w:hAnsi="Arial" w:cs="Arial"/>
          <w:bCs/>
          <w:sz w:val="18"/>
          <w:szCs w:val="18"/>
        </w:rPr>
        <w:t xml:space="preserve"> in a heterogeneous watershed with the storage distribution shown in </w:t>
      </w:r>
      <w:r w:rsidR="00B615A2" w:rsidRPr="00B615A2">
        <w:rPr>
          <w:rFonts w:ascii="Arial" w:eastAsia="Calibri" w:hAnsi="Arial" w:cs="Arial"/>
          <w:bCs/>
          <w:sz w:val="18"/>
          <w:szCs w:val="18"/>
        </w:rPr>
        <w:t>Table 2</w:t>
      </w:r>
      <w:r w:rsidRPr="004F00CE">
        <w:rPr>
          <w:rFonts w:ascii="Arial" w:eastAsia="Calibri" w:hAnsi="Arial" w:cs="Arial"/>
          <w:bCs/>
          <w:sz w:val="18"/>
          <w:szCs w:val="18"/>
        </w:rPr>
        <w:t>.</w:t>
      </w:r>
      <w:bookmarkEnd w:id="67"/>
    </w:p>
    <w:p w:rsidR="00D339F4" w:rsidRPr="00D339F4" w:rsidRDefault="00D339F4" w:rsidP="00835E1E">
      <w:pPr>
        <w:pStyle w:val="NormalNew"/>
      </w:pPr>
      <w:r w:rsidRPr="00D339F4">
        <w:t>The similarities between</w:t>
      </w:r>
      <w:r w:rsidRPr="00D339F4">
        <w:rPr>
          <w:i/>
          <w:iCs/>
          <w:color w:val="000000"/>
        </w:rPr>
        <w:t xml:space="preserve"> I</w:t>
      </w:r>
      <w:r w:rsidRPr="00D339F4">
        <w:rPr>
          <w:i/>
          <w:iCs/>
          <w:color w:val="000000"/>
          <w:vertAlign w:val="subscript"/>
        </w:rPr>
        <w:t>aW</w:t>
      </w:r>
      <w:r w:rsidRPr="00D339F4">
        <w:t xml:space="preserve"> and</w:t>
      </w:r>
      <w:r w:rsidRPr="00D339F4">
        <w:rPr>
          <w:i/>
        </w:rPr>
        <w:t xml:space="preserve"> S</w:t>
      </w:r>
      <w:r w:rsidRPr="00D339F4">
        <w:rPr>
          <w:i/>
          <w:vertAlign w:val="subscript"/>
        </w:rPr>
        <w:t>W</w:t>
      </w:r>
      <w:r w:rsidRPr="00D339F4">
        <w:t xml:space="preserve"> are that they both increase with </w:t>
      </w:r>
      <w:r w:rsidRPr="00D339F4">
        <w:rPr>
          <w:i/>
        </w:rPr>
        <w:t>P</w:t>
      </w:r>
      <w:r w:rsidRPr="00D339F4">
        <w:t xml:space="preserve"> and have an upper limit equal to the area-weighted arithmetic mean of their respective components. The difference is that</w:t>
      </w:r>
      <w:r w:rsidRPr="00D339F4">
        <w:rPr>
          <w:i/>
          <w:iCs/>
          <w:color w:val="000000"/>
        </w:rPr>
        <w:t xml:space="preserve"> I</w:t>
      </w:r>
      <w:r w:rsidRPr="00D339F4">
        <w:rPr>
          <w:i/>
          <w:iCs/>
          <w:color w:val="000000"/>
          <w:vertAlign w:val="subscript"/>
        </w:rPr>
        <w:t>aW</w:t>
      </w:r>
      <w:r w:rsidRPr="00D339F4">
        <w:t xml:space="preserve"> reaches its upper limit of </w:t>
      </w:r>
      <w:r w:rsidRPr="00D339F4">
        <w:rPr>
          <w:i/>
          <w:iCs/>
          <w:color w:val="000000"/>
        </w:rPr>
        <w:t>I</w:t>
      </w:r>
      <w:r w:rsidRPr="00D339F4">
        <w:rPr>
          <w:i/>
          <w:iCs/>
          <w:color w:val="000000"/>
          <w:vertAlign w:val="subscript"/>
        </w:rPr>
        <w:t>aT</w:t>
      </w:r>
      <w:r w:rsidRPr="00D339F4">
        <w:t xml:space="preserve"> for a finite value of </w:t>
      </w:r>
      <w:r w:rsidRPr="00D339F4">
        <w:rPr>
          <w:i/>
        </w:rPr>
        <w:t>P</w:t>
      </w:r>
      <w:r w:rsidRPr="00D339F4">
        <w:t xml:space="preserve"> (</w:t>
      </w:r>
      <w:r w:rsidRPr="00D339F4">
        <w:rPr>
          <w:i/>
        </w:rPr>
        <w:t>P</w:t>
      </w:r>
      <w:r w:rsidRPr="00D339F4">
        <w:t xml:space="preserve"> = </w:t>
      </w:r>
      <w:r w:rsidRPr="00D339F4">
        <w:rPr>
          <w:i/>
          <w:iCs/>
        </w:rPr>
        <w:t>I</w:t>
      </w:r>
      <w:r w:rsidRPr="00D339F4">
        <w:rPr>
          <w:i/>
          <w:iCs/>
          <w:vertAlign w:val="subscript"/>
        </w:rPr>
        <w:t>an</w:t>
      </w:r>
      <w:r w:rsidRPr="00D339F4">
        <w:t xml:space="preserve"> or </w:t>
      </w:r>
      <w:r w:rsidRPr="00D339F4">
        <w:rPr>
          <w:i/>
        </w:rPr>
        <w:t>P</w:t>
      </w:r>
      <w:r w:rsidRPr="00D339F4">
        <w:t xml:space="preserve"> = </w:t>
      </w:r>
      <w:r w:rsidRPr="00D339F4">
        <w:rPr>
          <w:i/>
          <w:iCs/>
        </w:rPr>
        <w:t>I</w:t>
      </w:r>
      <w:r w:rsidRPr="00D339F4">
        <w:rPr>
          <w:i/>
          <w:iCs/>
          <w:vertAlign w:val="subscript"/>
        </w:rPr>
        <w:t>a</w:t>
      </w:r>
      <w:r w:rsidRPr="00D339F4">
        <w:rPr>
          <w:vertAlign w:val="subscript"/>
        </w:rPr>
        <w:t>,max</w:t>
      </w:r>
      <w:r w:rsidRPr="00D339F4">
        <w:t xml:space="preserve">), whereas </w:t>
      </w:r>
      <w:r w:rsidRPr="00D339F4">
        <w:rPr>
          <w:i/>
        </w:rPr>
        <w:t>S</w:t>
      </w:r>
      <w:r w:rsidRPr="00D339F4">
        <w:rPr>
          <w:i/>
          <w:vertAlign w:val="subscript"/>
        </w:rPr>
        <w:t>W</w:t>
      </w:r>
      <w:r w:rsidRPr="00D339F4">
        <w:t xml:space="preserve"> requires large values of </w:t>
      </w:r>
      <w:r w:rsidRPr="00D339F4">
        <w:rPr>
          <w:i/>
        </w:rPr>
        <w:t>P</w:t>
      </w:r>
      <w:r w:rsidRPr="00D339F4">
        <w:t xml:space="preserve"> (</w:t>
      </w:r>
      <w:r w:rsidRPr="00D339F4">
        <w:rPr>
          <w:i/>
        </w:rPr>
        <w:t>P</w:t>
      </w:r>
      <w:r w:rsidRPr="00D339F4">
        <w:t xml:space="preserve"> &gt;&gt; </w:t>
      </w:r>
      <w:r w:rsidRPr="00D339F4">
        <w:rPr>
          <w:i/>
        </w:rPr>
        <w:t>S</w:t>
      </w:r>
      <w:r w:rsidRPr="00D339F4">
        <w:t xml:space="preserve">) to reach its upper limit of </w:t>
      </w:r>
      <w:r w:rsidRPr="00D339F4">
        <w:rPr>
          <w:i/>
        </w:rPr>
        <w:t>S</w:t>
      </w:r>
      <w:r w:rsidRPr="00D339F4">
        <w:rPr>
          <w:vertAlign w:val="subscript"/>
        </w:rPr>
        <w:t>∞</w:t>
      </w:r>
      <w:r w:rsidRPr="00D339F4">
        <w:t>. Moreover,</w:t>
      </w:r>
      <w:r w:rsidRPr="00D339F4">
        <w:rPr>
          <w:i/>
        </w:rPr>
        <w:t xml:space="preserve"> S</w:t>
      </w:r>
      <w:r w:rsidRPr="00D339F4">
        <w:rPr>
          <w:i/>
          <w:vertAlign w:val="subscript"/>
        </w:rPr>
        <w:t>W</w:t>
      </w:r>
      <w:r w:rsidRPr="00D339F4">
        <w:t xml:space="preserve"> vs. </w:t>
      </w:r>
      <w:r w:rsidRPr="00D339F4">
        <w:rPr>
          <w:i/>
        </w:rPr>
        <w:t>P</w:t>
      </w:r>
      <w:r w:rsidRPr="00D339F4">
        <w:t xml:space="preserve"> is an S-</w:t>
      </w:r>
      <w:r w:rsidRPr="00D339F4">
        <w:lastRenderedPageBreak/>
        <w:t xml:space="preserve">shaped curve when </w:t>
      </w:r>
      <w:r w:rsidRPr="00D339F4">
        <w:rPr>
          <w:i/>
          <w:iCs/>
        </w:rPr>
        <w:t>λ</w:t>
      </w:r>
      <w:r w:rsidRPr="00D339F4">
        <w:rPr>
          <w:i/>
          <w:iCs/>
          <w:vertAlign w:val="subscript"/>
        </w:rPr>
        <w:t>i</w:t>
      </w:r>
      <w:r w:rsidRPr="00D339F4">
        <w:t xml:space="preserve"> &gt; 0. This shows that </w:t>
      </w:r>
      <w:r w:rsidRPr="00D339F4">
        <w:rPr>
          <w:i/>
          <w:iCs/>
          <w:color w:val="000000"/>
        </w:rPr>
        <w:t>I</w:t>
      </w:r>
      <w:r w:rsidRPr="00D339F4">
        <w:rPr>
          <w:i/>
          <w:iCs/>
          <w:color w:val="000000"/>
          <w:vertAlign w:val="subscript"/>
        </w:rPr>
        <w:t>aW</w:t>
      </w:r>
      <w:r w:rsidRPr="00D339F4">
        <w:t xml:space="preserve"> and</w:t>
      </w:r>
      <w:r w:rsidRPr="00D339F4">
        <w:rPr>
          <w:i/>
        </w:rPr>
        <w:t xml:space="preserve"> S</w:t>
      </w:r>
      <w:r w:rsidRPr="00D339F4">
        <w:rPr>
          <w:i/>
          <w:vertAlign w:val="subscript"/>
        </w:rPr>
        <w:t>W</w:t>
      </w:r>
      <w:r w:rsidRPr="00D339F4">
        <w:t xml:space="preserve"> are not proportional, i.e. </w:t>
      </w:r>
      <w:r w:rsidRPr="00D339F4">
        <w:rPr>
          <w:i/>
          <w:iCs/>
        </w:rPr>
        <w:t>λ</w:t>
      </w:r>
      <w:r w:rsidRPr="00D339F4">
        <w:rPr>
          <w:i/>
          <w:iCs/>
          <w:vertAlign w:val="subscript"/>
        </w:rPr>
        <w:t>W</w:t>
      </w:r>
      <w:r w:rsidRPr="00D339F4">
        <w:t xml:space="preserve"> is not a constant even though </w:t>
      </w:r>
      <w:r w:rsidRPr="00D339F4">
        <w:rPr>
          <w:i/>
          <w:iCs/>
        </w:rPr>
        <w:t>λ</w:t>
      </w:r>
      <w:r w:rsidRPr="00D339F4">
        <w:rPr>
          <w:i/>
          <w:iCs/>
          <w:vertAlign w:val="subscript"/>
        </w:rPr>
        <w:t>i</w:t>
      </w:r>
      <w:r w:rsidR="00DF538F">
        <w:t xml:space="preserve"> values</w:t>
      </w:r>
      <w:r w:rsidRPr="00D339F4">
        <w:t xml:space="preserve"> are assumed to be equal and constant.</w:t>
      </w:r>
    </w:p>
    <w:p w:rsidR="00D339F4" w:rsidRPr="00D339F4" w:rsidRDefault="00D339F4" w:rsidP="00D339F4">
      <w:pPr>
        <w:pStyle w:val="Heading2"/>
      </w:pPr>
      <w:bookmarkStart w:id="68" w:name="_Toc479817864"/>
      <w:bookmarkStart w:id="69" w:name="_Toc481658240"/>
      <w:r w:rsidRPr="00D339F4">
        <w:t>4. Application</w:t>
      </w:r>
      <w:bookmarkEnd w:id="68"/>
      <w:bookmarkEnd w:id="69"/>
      <w:r w:rsidRPr="00D339F4">
        <w:t xml:space="preserve"> </w:t>
      </w:r>
    </w:p>
    <w:p w:rsidR="00D339F4" w:rsidRPr="00D339F4" w:rsidRDefault="00D339F4" w:rsidP="00835E1E">
      <w:pPr>
        <w:pStyle w:val="NormalNew"/>
      </w:pPr>
      <w:r w:rsidRPr="00D339F4">
        <w:t xml:space="preserve">The analysis from previous sections shows that </w:t>
      </w:r>
      <w:r w:rsidRPr="00D339F4">
        <w:rPr>
          <w:i/>
          <w:iCs/>
          <w:color w:val="000000"/>
        </w:rPr>
        <w:t>I</w:t>
      </w:r>
      <w:r w:rsidRPr="00D339F4">
        <w:rPr>
          <w:i/>
          <w:iCs/>
          <w:color w:val="000000"/>
          <w:vertAlign w:val="subscript"/>
        </w:rPr>
        <w:t>aW</w:t>
      </w:r>
      <w:r w:rsidRPr="00D339F4">
        <w:t xml:space="preserve"> and</w:t>
      </w:r>
      <w:r w:rsidRPr="00D339F4">
        <w:rPr>
          <w:i/>
        </w:rPr>
        <w:t xml:space="preserve"> S</w:t>
      </w:r>
      <w:r w:rsidRPr="00D339F4">
        <w:rPr>
          <w:i/>
          <w:vertAlign w:val="subscript"/>
        </w:rPr>
        <w:t>W</w:t>
      </w:r>
      <w:r w:rsidRPr="00D339F4">
        <w:t xml:space="preserve"> are functions of </w:t>
      </w:r>
      <w:r w:rsidRPr="00D339F4">
        <w:rPr>
          <w:i/>
        </w:rPr>
        <w:t>P</w:t>
      </w:r>
      <w:r w:rsidRPr="00D339F4">
        <w:t>, and gives their functional forms. Incorporating these functions in the lumped parameter application can potentially improve the performance of the CN method.</w:t>
      </w:r>
    </w:p>
    <w:p w:rsidR="00D339F4" w:rsidRPr="00D339F4" w:rsidRDefault="00D339F4" w:rsidP="00D339F4">
      <w:pPr>
        <w:pStyle w:val="Heading3"/>
        <w:rPr>
          <w:i/>
        </w:rPr>
      </w:pPr>
      <w:bookmarkStart w:id="70" w:name="_Toc479817865"/>
      <w:bookmarkStart w:id="71" w:name="_Toc481658241"/>
      <w:r w:rsidRPr="00D339F4">
        <w:rPr>
          <w:iCs/>
          <w:color w:val="000000"/>
        </w:rPr>
        <w:t xml:space="preserve">4.1. </w:t>
      </w:r>
      <w:r w:rsidRPr="00D339F4">
        <w:rPr>
          <w:i/>
          <w:iCs/>
          <w:color w:val="000000"/>
        </w:rPr>
        <w:t>I</w:t>
      </w:r>
      <w:r w:rsidRPr="00D339F4">
        <w:rPr>
          <w:i/>
          <w:iCs/>
          <w:color w:val="000000"/>
          <w:vertAlign w:val="subscript"/>
        </w:rPr>
        <w:t>aW</w:t>
      </w:r>
      <w:r w:rsidRPr="00D339F4">
        <w:t xml:space="preserve"> as a function of </w:t>
      </w:r>
      <w:r w:rsidRPr="00D339F4">
        <w:rPr>
          <w:i/>
        </w:rPr>
        <w:t>P</w:t>
      </w:r>
      <w:bookmarkEnd w:id="70"/>
      <w:bookmarkEnd w:id="71"/>
    </w:p>
    <w:p w:rsidR="00835E1E" w:rsidRPr="00D339F4" w:rsidRDefault="00D339F4" w:rsidP="00835E1E">
      <w:pPr>
        <w:pStyle w:val="NormalNew"/>
        <w:rPr>
          <w:lang w:bidi="te-IN"/>
        </w:rPr>
      </w:pPr>
      <w:r w:rsidRPr="00D339F4">
        <w:t xml:space="preserve">The distributed parameter modeling approach, eq. </w:t>
      </w:r>
      <w:r w:rsidR="00B615A2" w:rsidRPr="00B615A2">
        <w:t>(21)</w:t>
      </w:r>
      <w:r w:rsidRPr="00D339F4">
        <w:t xml:space="preserve"> with the application of mass balance [eq. </w:t>
      </w:r>
      <w:r w:rsidR="00B615A2" w:rsidRPr="00B615A2">
        <w:t>(1)</w:t>
      </w:r>
      <w:r w:rsidRPr="00D339F4">
        <w:t>] at watershed and HRU scales, shows that</w:t>
      </w:r>
      <w:r w:rsidRPr="00D339F4">
        <w:rPr>
          <w:i/>
          <w:iCs/>
          <w:color w:val="000000"/>
        </w:rPr>
        <w:t xml:space="preserve"> I</w:t>
      </w:r>
      <w:r w:rsidRPr="00D339F4">
        <w:rPr>
          <w:i/>
          <w:iCs/>
          <w:color w:val="000000"/>
          <w:vertAlign w:val="subscript"/>
        </w:rPr>
        <w:t>aW</w:t>
      </w:r>
      <w:r w:rsidRPr="00D339F4">
        <w:t xml:space="preserve"> = </w:t>
      </w:r>
      <w:r w:rsidRPr="00D339F4">
        <w:rPr>
          <w:i/>
          <w:iCs/>
          <w:color w:val="000000"/>
        </w:rPr>
        <w:t>I</w:t>
      </w:r>
      <w:r w:rsidRPr="00D339F4">
        <w:rPr>
          <w:i/>
          <w:iCs/>
          <w:color w:val="000000"/>
          <w:vertAlign w:val="subscript"/>
        </w:rPr>
        <w:t>aF</w:t>
      </w:r>
      <w:r w:rsidRPr="00D339F4">
        <w:t xml:space="preserve">. </w:t>
      </w:r>
      <w:r w:rsidRPr="00D339F4">
        <w:rPr>
          <w:i/>
          <w:iCs/>
          <w:color w:val="000000"/>
        </w:rPr>
        <w:t>I</w:t>
      </w:r>
      <w:r w:rsidRPr="00D339F4">
        <w:rPr>
          <w:i/>
          <w:iCs/>
          <w:color w:val="000000"/>
          <w:vertAlign w:val="subscript"/>
        </w:rPr>
        <w:t>aF</w:t>
      </w:r>
      <w:r w:rsidRPr="00D339F4">
        <w:t xml:space="preserve"> is given by eq. </w:t>
      </w:r>
      <w:r w:rsidR="00B615A2" w:rsidRPr="00B615A2">
        <w:t>(14)</w:t>
      </w:r>
      <w:r w:rsidRPr="00D339F4">
        <w:t xml:space="preserve"> for the discrete case and eq. </w:t>
      </w:r>
      <w:r w:rsidR="00B615A2" w:rsidRPr="00B615A2">
        <w:t>(16)</w:t>
      </w:r>
      <w:r w:rsidRPr="00D339F4">
        <w:t xml:space="preserve"> for the continuous case. All the distributions in </w:t>
      </w:r>
      <w:r w:rsidR="00B615A2" w:rsidRPr="00B615A2">
        <w:t>Table 1</w:t>
      </w:r>
      <w:r w:rsidRPr="00D339F4">
        <w:rPr>
          <w:lang w:bidi="te-IN"/>
        </w:rPr>
        <w:t xml:space="preserve">, </w:t>
      </w:r>
      <w:r w:rsidRPr="00D339F4">
        <w:t>except the normal distribution,</w:t>
      </w:r>
      <w:r w:rsidRPr="00D339F4">
        <w:rPr>
          <w:lang w:bidi="te-IN"/>
        </w:rPr>
        <w:t xml:space="preserve"> gave a zero-intercept polynomial for </w:t>
      </w:r>
      <w:r w:rsidRPr="00D339F4">
        <w:rPr>
          <w:i/>
          <w:iCs/>
          <w:color w:val="000000"/>
        </w:rPr>
        <w:t>I</w:t>
      </w:r>
      <w:r w:rsidRPr="00D339F4">
        <w:rPr>
          <w:i/>
          <w:iCs/>
          <w:color w:val="000000"/>
          <w:vertAlign w:val="subscript"/>
        </w:rPr>
        <w:t>aF</w:t>
      </w:r>
      <w:r w:rsidRPr="00D339F4">
        <w:rPr>
          <w:lang w:bidi="te-IN"/>
        </w:rPr>
        <w:t>. Therefore, using a quadratic function of the form</w:t>
      </w:r>
    </w:p>
    <w:p w:rsidR="00D339F4" w:rsidRPr="00D339F4" w:rsidRDefault="00D339F4" w:rsidP="00F66E22">
      <w:pPr>
        <w:tabs>
          <w:tab w:val="center" w:pos="4962"/>
          <w:tab w:val="right" w:pos="10348"/>
        </w:tabs>
        <w:spacing w:line="480" w:lineRule="auto"/>
        <w:rPr>
          <w:rFonts w:eastAsia="Calibri"/>
          <w:szCs w:val="22"/>
          <w:lang w:bidi="te-IN"/>
        </w:rPr>
      </w:pPr>
      <w:r w:rsidRPr="00D339F4">
        <w:rPr>
          <w:rFonts w:eastAsia="Calibri"/>
          <w:szCs w:val="22"/>
          <w:lang w:bidi="te-IN"/>
        </w:rPr>
        <w:tab/>
      </w:r>
      <w:r w:rsidR="00CB311D">
        <w:rPr>
          <w:rFonts w:eastAsia="Calibri"/>
          <w:position w:val="-34"/>
          <w:szCs w:val="22"/>
          <w:lang w:bidi="te-IN"/>
        </w:rPr>
        <w:pict>
          <v:shape id="_x0000_i1059" type="#_x0000_t75" style="width:213pt;height:40.8pt">
            <v:imagedata r:id="rId64" o:title=""/>
          </v:shape>
        </w:pict>
      </w:r>
      <w:r w:rsidRPr="00D339F4">
        <w:rPr>
          <w:rFonts w:eastAsia="Calibri"/>
          <w:szCs w:val="22"/>
          <w:lang w:bidi="te-IN"/>
        </w:rPr>
        <w:t xml:space="preserve"> </w:t>
      </w:r>
      <w:r w:rsidRPr="00D339F4">
        <w:rPr>
          <w:rFonts w:eastAsia="Calibri"/>
          <w:szCs w:val="22"/>
          <w:lang w:bidi="te-IN"/>
        </w:rPr>
        <w:tab/>
      </w:r>
      <w:bookmarkStart w:id="72" w:name="ZEqnNum825643"/>
      <w:r w:rsidRPr="00F66E22">
        <w:rPr>
          <w:rFonts w:eastAsia="Calibri"/>
          <w:sz w:val="20"/>
          <w:szCs w:val="20"/>
          <w:lang w:bidi="te-IN"/>
        </w:rPr>
        <w:t>(</w:t>
      </w:r>
      <w:r w:rsidR="00B615A2">
        <w:rPr>
          <w:rFonts w:eastAsia="Calibri"/>
          <w:noProof/>
          <w:sz w:val="20"/>
          <w:szCs w:val="20"/>
          <w:lang w:bidi="te-IN"/>
        </w:rPr>
        <w:t>23</w:t>
      </w:r>
      <w:r w:rsidRPr="00F66E22">
        <w:rPr>
          <w:rFonts w:eastAsia="Calibri"/>
          <w:sz w:val="20"/>
          <w:szCs w:val="20"/>
          <w:lang w:bidi="te-IN"/>
        </w:rPr>
        <w:t>)</w:t>
      </w:r>
      <w:bookmarkEnd w:id="72"/>
    </w:p>
    <w:p w:rsidR="00835E1E" w:rsidRPr="00D339F4" w:rsidRDefault="00D339F4" w:rsidP="00835E1E">
      <w:pPr>
        <w:pStyle w:val="NormalNew"/>
        <w:rPr>
          <w:lang w:bidi="te-IN"/>
        </w:rPr>
      </w:pPr>
      <w:r w:rsidRPr="00D339F4">
        <w:rPr>
          <w:lang w:bidi="te-IN"/>
        </w:rPr>
        <w:t xml:space="preserve">is an efficient way to describe </w:t>
      </w:r>
      <w:r w:rsidRPr="00D339F4">
        <w:rPr>
          <w:i/>
          <w:iCs/>
          <w:color w:val="000000"/>
        </w:rPr>
        <w:t>I</w:t>
      </w:r>
      <w:r w:rsidRPr="00D339F4">
        <w:rPr>
          <w:i/>
          <w:iCs/>
          <w:color w:val="000000"/>
          <w:vertAlign w:val="subscript"/>
        </w:rPr>
        <w:t>aW</w:t>
      </w:r>
      <w:r w:rsidRPr="00D339F4">
        <w:rPr>
          <w:lang w:bidi="te-IN"/>
        </w:rPr>
        <w:t xml:space="preserve">. In eq. </w:t>
      </w:r>
      <w:r w:rsidR="00B615A2" w:rsidRPr="00B615A2">
        <w:rPr>
          <w:lang w:bidi="te-IN"/>
        </w:rPr>
        <w:t>(23)</w:t>
      </w:r>
      <w:r w:rsidRPr="00D339F4">
        <w:rPr>
          <w:lang w:bidi="te-IN"/>
        </w:rPr>
        <w:t xml:space="preserve">, </w:t>
      </w:r>
      <w:r w:rsidRPr="00D339F4">
        <w:rPr>
          <w:i/>
          <w:iCs/>
          <w:lang w:bidi="te-IN"/>
        </w:rPr>
        <w:t>c</w:t>
      </w:r>
      <w:r w:rsidRPr="00D339F4">
        <w:rPr>
          <w:iCs/>
          <w:szCs w:val="20"/>
          <w:vertAlign w:val="subscript"/>
          <w:lang w:bidi="te-IN"/>
        </w:rPr>
        <w:t>1</w:t>
      </w:r>
      <w:r w:rsidRPr="00D339F4">
        <w:rPr>
          <w:lang w:bidi="te-IN"/>
        </w:rPr>
        <w:t xml:space="preserve"> and </w:t>
      </w:r>
      <w:r w:rsidRPr="00D339F4">
        <w:rPr>
          <w:i/>
          <w:iCs/>
          <w:lang w:bidi="te-IN"/>
        </w:rPr>
        <w:t>c</w:t>
      </w:r>
      <w:r w:rsidRPr="00D339F4">
        <w:rPr>
          <w:iCs/>
          <w:szCs w:val="20"/>
          <w:vertAlign w:val="subscript"/>
          <w:lang w:bidi="te-IN"/>
        </w:rPr>
        <w:t>2</w:t>
      </w:r>
      <w:r w:rsidRPr="00D339F4">
        <w:rPr>
          <w:lang w:bidi="te-IN"/>
        </w:rPr>
        <w:t xml:space="preserve"> are calibration parameters such that 0 ≤ </w:t>
      </w:r>
      <w:r w:rsidRPr="00D339F4">
        <w:rPr>
          <w:i/>
          <w:iCs/>
          <w:lang w:bidi="te-IN"/>
        </w:rPr>
        <w:t>c</w:t>
      </w:r>
      <w:r w:rsidRPr="00D339F4">
        <w:rPr>
          <w:iCs/>
          <w:szCs w:val="20"/>
          <w:vertAlign w:val="subscript"/>
          <w:lang w:bidi="te-IN"/>
        </w:rPr>
        <w:t>1</w:t>
      </w:r>
      <w:r w:rsidRPr="00D339F4">
        <w:rPr>
          <w:lang w:bidi="te-IN"/>
        </w:rPr>
        <w:t xml:space="preserve"> ≤ 1 and </w:t>
      </w:r>
      <w:r w:rsidRPr="00D339F4">
        <w:rPr>
          <w:i/>
          <w:iCs/>
          <w:lang w:bidi="te-IN"/>
        </w:rPr>
        <w:t>c</w:t>
      </w:r>
      <w:r w:rsidRPr="00D339F4">
        <w:rPr>
          <w:iCs/>
          <w:szCs w:val="20"/>
          <w:vertAlign w:val="subscript"/>
          <w:lang w:bidi="te-IN"/>
        </w:rPr>
        <w:t>2</w:t>
      </w:r>
      <w:r w:rsidRPr="00D339F4">
        <w:rPr>
          <w:lang w:bidi="te-IN"/>
        </w:rPr>
        <w:t xml:space="preserve"> ≥ 0. Since the slope of</w:t>
      </w:r>
      <w:r w:rsidRPr="00D339F4">
        <w:rPr>
          <w:i/>
          <w:iCs/>
          <w:color w:val="000000"/>
        </w:rPr>
        <w:t xml:space="preserve"> </w:t>
      </w:r>
      <w:r w:rsidRPr="00D339F4">
        <w:rPr>
          <w:i/>
          <w:iCs/>
          <w:lang w:bidi="te-IN"/>
        </w:rPr>
        <w:t>I</w:t>
      </w:r>
      <w:r w:rsidRPr="00D339F4">
        <w:rPr>
          <w:i/>
          <w:iCs/>
          <w:vertAlign w:val="subscript"/>
          <w:lang w:bidi="te-IN"/>
        </w:rPr>
        <w:t>aW</w:t>
      </w:r>
      <w:r w:rsidRPr="00D339F4">
        <w:rPr>
          <w:lang w:bidi="te-IN"/>
        </w:rPr>
        <w:t xml:space="preserve"> is zero at </w:t>
      </w:r>
      <w:r w:rsidRPr="00D339F4">
        <w:rPr>
          <w:i/>
        </w:rPr>
        <w:t>P</w:t>
      </w:r>
      <w:r w:rsidRPr="00D339F4">
        <w:t xml:space="preserve"> = </w:t>
      </w:r>
      <w:r w:rsidRPr="00D339F4">
        <w:rPr>
          <w:i/>
          <w:iCs/>
        </w:rPr>
        <w:t>I</w:t>
      </w:r>
      <w:r w:rsidRPr="00D339F4">
        <w:rPr>
          <w:i/>
          <w:iCs/>
          <w:vertAlign w:val="subscript"/>
        </w:rPr>
        <w:t>a</w:t>
      </w:r>
      <w:r w:rsidRPr="00D339F4">
        <w:rPr>
          <w:vertAlign w:val="subscript"/>
        </w:rPr>
        <w:t>,max</w:t>
      </w:r>
      <w:r w:rsidRPr="00D339F4">
        <w:t xml:space="preserve"> [</w:t>
      </w:r>
      <w:r w:rsidRPr="00D339F4">
        <w:rPr>
          <w:lang w:bidi="te-IN"/>
        </w:rPr>
        <w:t xml:space="preserve">eq. </w:t>
      </w:r>
      <w:r w:rsidR="00B615A2" w:rsidRPr="00B615A2">
        <w:rPr>
          <w:lang w:bidi="te-IN"/>
        </w:rPr>
        <w:t>(19)</w:t>
      </w:r>
      <w:r w:rsidRPr="00D339F4">
        <w:t>]</w:t>
      </w:r>
      <w:r w:rsidRPr="00D339F4">
        <w:rPr>
          <w:lang w:bidi="te-IN"/>
        </w:rPr>
        <w:t xml:space="preserve">, it follows from eq. </w:t>
      </w:r>
      <w:r w:rsidR="00B615A2" w:rsidRPr="00B615A2">
        <w:rPr>
          <w:lang w:bidi="te-IN"/>
        </w:rPr>
        <w:t>(23)</w:t>
      </w:r>
      <w:r w:rsidRPr="00D339F4">
        <w:rPr>
          <w:lang w:bidi="te-IN"/>
        </w:rPr>
        <w:t xml:space="preserve"> that</w:t>
      </w:r>
    </w:p>
    <w:p w:rsidR="00D339F4" w:rsidRPr="00D339F4" w:rsidRDefault="00D339F4" w:rsidP="00F66E22">
      <w:pPr>
        <w:tabs>
          <w:tab w:val="center" w:pos="4962"/>
          <w:tab w:val="right" w:pos="10348"/>
        </w:tabs>
        <w:spacing w:line="480" w:lineRule="auto"/>
        <w:ind w:firstLine="720"/>
        <w:rPr>
          <w:rFonts w:eastAsia="Calibri"/>
          <w:szCs w:val="22"/>
          <w:lang w:bidi="te-IN"/>
        </w:rPr>
      </w:pPr>
      <w:r w:rsidRPr="00D339F4">
        <w:rPr>
          <w:rFonts w:eastAsia="Calibri"/>
          <w:szCs w:val="22"/>
          <w:lang w:bidi="te-IN"/>
        </w:rPr>
        <w:tab/>
      </w:r>
      <w:r w:rsidR="00CB311D">
        <w:rPr>
          <w:rFonts w:eastAsia="Calibri"/>
          <w:position w:val="-66"/>
          <w:szCs w:val="22"/>
          <w:lang w:bidi="te-IN"/>
        </w:rPr>
        <w:pict>
          <v:shape id="_x0000_i1060" type="#_x0000_t75" style="width:49.8pt;height:70.8pt">
            <v:imagedata r:id="rId65" o:title=""/>
          </v:shape>
        </w:pict>
      </w:r>
      <w:r w:rsidRPr="00D339F4">
        <w:rPr>
          <w:rFonts w:eastAsia="Calibri"/>
          <w:szCs w:val="22"/>
          <w:lang w:bidi="te-IN"/>
        </w:rPr>
        <w:t xml:space="preserve"> </w:t>
      </w:r>
      <w:r w:rsidRPr="00D339F4">
        <w:rPr>
          <w:rFonts w:eastAsia="Calibri"/>
          <w:szCs w:val="22"/>
          <w:lang w:bidi="te-IN"/>
        </w:rPr>
        <w:tab/>
      </w:r>
      <w:bookmarkStart w:id="73" w:name="ZEqnNum114896"/>
      <w:r w:rsidRPr="00F66E22">
        <w:rPr>
          <w:rFonts w:eastAsia="Calibri"/>
          <w:sz w:val="20"/>
          <w:szCs w:val="20"/>
          <w:lang w:bidi="te-IN"/>
        </w:rPr>
        <w:t>(</w:t>
      </w:r>
      <w:r w:rsidR="00B615A2">
        <w:rPr>
          <w:rFonts w:eastAsia="Calibri"/>
          <w:noProof/>
          <w:sz w:val="20"/>
          <w:szCs w:val="20"/>
          <w:lang w:bidi="te-IN"/>
        </w:rPr>
        <w:t>24</w:t>
      </w:r>
      <w:r w:rsidRPr="00F66E22">
        <w:rPr>
          <w:rFonts w:eastAsia="Calibri"/>
          <w:sz w:val="20"/>
          <w:szCs w:val="20"/>
          <w:lang w:bidi="te-IN"/>
        </w:rPr>
        <w:t>)</w:t>
      </w:r>
      <w:bookmarkEnd w:id="73"/>
    </w:p>
    <w:p w:rsidR="00D339F4" w:rsidRPr="00D339F4" w:rsidRDefault="00D339F4" w:rsidP="00835E1E">
      <w:pPr>
        <w:pStyle w:val="NormalNew"/>
        <w:rPr>
          <w:lang w:bidi="te-IN"/>
        </w:rPr>
      </w:pPr>
      <w:r w:rsidRPr="00D339F4">
        <w:rPr>
          <w:lang w:bidi="te-IN"/>
        </w:rPr>
        <w:t>Similarly, the slope of</w:t>
      </w:r>
      <w:r w:rsidRPr="00D339F4">
        <w:rPr>
          <w:i/>
          <w:iCs/>
          <w:color w:val="000000"/>
        </w:rPr>
        <w:t xml:space="preserve"> </w:t>
      </w:r>
      <w:r w:rsidRPr="00D339F4">
        <w:rPr>
          <w:i/>
          <w:iCs/>
          <w:lang w:bidi="te-IN"/>
        </w:rPr>
        <w:t>I</w:t>
      </w:r>
      <w:r w:rsidRPr="00D339F4">
        <w:rPr>
          <w:i/>
          <w:iCs/>
          <w:vertAlign w:val="subscript"/>
          <w:lang w:bidi="te-IN"/>
        </w:rPr>
        <w:t>aW</w:t>
      </w:r>
      <w:r w:rsidRPr="00D339F4">
        <w:rPr>
          <w:lang w:bidi="te-IN"/>
        </w:rPr>
        <w:t xml:space="preserve"> is unity at </w:t>
      </w:r>
      <w:r w:rsidRPr="00D339F4">
        <w:rPr>
          <w:i/>
        </w:rPr>
        <w:t>P</w:t>
      </w:r>
      <w:r w:rsidRPr="00D339F4">
        <w:t xml:space="preserve"> = </w:t>
      </w:r>
      <w:r w:rsidRPr="00D339F4">
        <w:rPr>
          <w:iCs/>
        </w:rPr>
        <w:t>0</w:t>
      </w:r>
      <w:r w:rsidRPr="00D339F4">
        <w:t xml:space="preserve"> </w:t>
      </w:r>
      <w:r w:rsidRPr="00D339F4">
        <w:rPr>
          <w:lang w:bidi="te-IN"/>
        </w:rPr>
        <w:t xml:space="preserve">so </w:t>
      </w:r>
      <w:r w:rsidRPr="00D339F4">
        <w:rPr>
          <w:i/>
          <w:iCs/>
          <w:lang w:bidi="te-IN"/>
        </w:rPr>
        <w:t>c</w:t>
      </w:r>
      <w:r w:rsidRPr="00D339F4">
        <w:rPr>
          <w:iCs/>
          <w:szCs w:val="20"/>
          <w:vertAlign w:val="subscript"/>
          <w:lang w:bidi="te-IN"/>
        </w:rPr>
        <w:t>1</w:t>
      </w:r>
      <w:r w:rsidRPr="00D339F4">
        <w:rPr>
          <w:vertAlign w:val="subscript"/>
          <w:lang w:bidi="te-IN"/>
        </w:rPr>
        <w:t xml:space="preserve"> </w:t>
      </w:r>
      <w:r w:rsidRPr="00D339F4">
        <w:rPr>
          <w:lang w:bidi="te-IN"/>
        </w:rPr>
        <w:t xml:space="preserve">should be unity. However, it was kept as a free parameter in eq. </w:t>
      </w:r>
      <w:r w:rsidR="00B615A2" w:rsidRPr="00B615A2">
        <w:rPr>
          <w:lang w:bidi="te-IN"/>
        </w:rPr>
        <w:t>(23)</w:t>
      </w:r>
      <w:r w:rsidRPr="00D339F4">
        <w:rPr>
          <w:lang w:bidi="te-IN"/>
        </w:rPr>
        <w:t xml:space="preserve"> to allow for the approximation of piecewise functions (e.g. </w:t>
      </w:r>
      <w:r w:rsidRPr="00D339F4">
        <w:rPr>
          <w:i/>
          <w:iCs/>
        </w:rPr>
        <w:t>I</w:t>
      </w:r>
      <w:r w:rsidRPr="00D339F4">
        <w:rPr>
          <w:i/>
          <w:iCs/>
          <w:vertAlign w:val="subscript"/>
        </w:rPr>
        <w:t>aF</w:t>
      </w:r>
      <w:r w:rsidRPr="00D339F4">
        <w:rPr>
          <w:lang w:bidi="te-IN"/>
        </w:rPr>
        <w:t xml:space="preserve"> for triangular and bimodal distributions in </w:t>
      </w:r>
      <w:r w:rsidR="00B615A2" w:rsidRPr="00B615A2">
        <w:t>Table 1</w:t>
      </w:r>
      <w:r w:rsidRPr="00D339F4">
        <w:rPr>
          <w:lang w:bidi="te-IN"/>
        </w:rPr>
        <w:t xml:space="preserve">). Moreover, the analysis for the discrete case shows that </w:t>
      </w:r>
      <w:r w:rsidRPr="00D339F4">
        <w:t>when HRUs with zero initial abstraction are present, the origin is a kink-point where the slope abruptly jumps from unity to 1-</w:t>
      </w:r>
      <w:r w:rsidRPr="00D339F4">
        <w:rPr>
          <w:i/>
          <w:iCs/>
        </w:rPr>
        <w:t>a</w:t>
      </w:r>
      <w:r w:rsidRPr="00D339F4">
        <w:rPr>
          <w:vertAlign w:val="subscript"/>
        </w:rPr>
        <w:t>0</w:t>
      </w:r>
      <w:r w:rsidRPr="00D339F4">
        <w:t>.</w:t>
      </w:r>
      <w:r w:rsidRPr="00D339F4">
        <w:rPr>
          <w:lang w:bidi="te-IN"/>
        </w:rPr>
        <w:t xml:space="preserve"> To avoid over-parameterization of the model, a polynomial of degree &gt; 2 for </w:t>
      </w:r>
      <w:r w:rsidRPr="00D339F4">
        <w:rPr>
          <w:i/>
          <w:iCs/>
          <w:lang w:bidi="te-IN"/>
        </w:rPr>
        <w:t>I</w:t>
      </w:r>
      <w:r w:rsidRPr="00D339F4">
        <w:rPr>
          <w:i/>
          <w:iCs/>
          <w:vertAlign w:val="subscript"/>
          <w:lang w:bidi="te-IN"/>
        </w:rPr>
        <w:t>aW</w:t>
      </w:r>
      <w:r w:rsidRPr="00D339F4">
        <w:rPr>
          <w:lang w:bidi="te-IN"/>
        </w:rPr>
        <w:t xml:space="preserve"> was not considered.</w:t>
      </w:r>
    </w:p>
    <w:p w:rsidR="00D339F4" w:rsidRPr="00D339F4" w:rsidRDefault="00D339F4" w:rsidP="00D339F4">
      <w:pPr>
        <w:pStyle w:val="Heading3"/>
        <w:rPr>
          <w:lang w:bidi="te-IN"/>
        </w:rPr>
      </w:pPr>
      <w:bookmarkStart w:id="74" w:name="_Toc479817866"/>
      <w:bookmarkStart w:id="75" w:name="_Toc481658242"/>
      <w:r w:rsidRPr="00D339F4">
        <w:rPr>
          <w:iCs/>
          <w:color w:val="000000"/>
        </w:rPr>
        <w:t xml:space="preserve">4.2. </w:t>
      </w:r>
      <w:r w:rsidRPr="00D339F4">
        <w:rPr>
          <w:i/>
          <w:iCs/>
          <w:color w:val="000000"/>
        </w:rPr>
        <w:t>S</w:t>
      </w:r>
      <w:r w:rsidRPr="00D339F4">
        <w:rPr>
          <w:i/>
          <w:iCs/>
          <w:color w:val="000000"/>
          <w:vertAlign w:val="subscript"/>
        </w:rPr>
        <w:t>W</w:t>
      </w:r>
      <w:r w:rsidRPr="00D339F4">
        <w:t xml:space="preserve"> as a function of </w:t>
      </w:r>
      <w:r w:rsidRPr="00D339F4">
        <w:rPr>
          <w:i/>
        </w:rPr>
        <w:t>P</w:t>
      </w:r>
      <w:bookmarkEnd w:id="74"/>
      <w:bookmarkEnd w:id="75"/>
    </w:p>
    <w:p w:rsidR="00835E1E" w:rsidRPr="00D339F4" w:rsidRDefault="00D339F4" w:rsidP="00835E1E">
      <w:pPr>
        <w:pStyle w:val="NormalNew"/>
        <w:rPr>
          <w:lang w:bidi="te-IN"/>
        </w:rPr>
      </w:pPr>
      <w:r w:rsidRPr="00D339F4">
        <w:rPr>
          <w:lang w:bidi="te-IN"/>
        </w:rPr>
        <w:t>The sigmoid shaped function of</w:t>
      </w:r>
      <w:r w:rsidRPr="00D339F4">
        <w:rPr>
          <w:i/>
          <w:iCs/>
          <w:color w:val="000000"/>
        </w:rPr>
        <w:t xml:space="preserve"> S</w:t>
      </w:r>
      <w:r w:rsidRPr="00D339F4">
        <w:rPr>
          <w:i/>
          <w:iCs/>
          <w:color w:val="000000"/>
          <w:vertAlign w:val="subscript"/>
        </w:rPr>
        <w:t>W</w:t>
      </w:r>
      <w:r w:rsidRPr="00D339F4">
        <w:rPr>
          <w:lang w:bidi="te-IN"/>
        </w:rPr>
        <w:t xml:space="preserve">, with the conditions that </w:t>
      </w:r>
      <w:r w:rsidRPr="00D339F4">
        <w:rPr>
          <w:i/>
          <w:iCs/>
          <w:color w:val="000000"/>
        </w:rPr>
        <w:t>S</w:t>
      </w:r>
      <w:r w:rsidRPr="00D339F4">
        <w:rPr>
          <w:i/>
          <w:iCs/>
          <w:color w:val="000000"/>
          <w:vertAlign w:val="subscript"/>
        </w:rPr>
        <w:t>W</w:t>
      </w:r>
      <w:r w:rsidRPr="00D339F4">
        <w:rPr>
          <w:vertAlign w:val="subscript"/>
          <w:lang w:bidi="te-IN"/>
        </w:rPr>
        <w:t xml:space="preserve"> </w:t>
      </w:r>
      <w:r w:rsidRPr="00D339F4">
        <w:rPr>
          <w:lang w:bidi="te-IN"/>
        </w:rPr>
        <w:t>= 0 when</w:t>
      </w:r>
      <w:r w:rsidRPr="00D339F4">
        <w:rPr>
          <w:i/>
          <w:iCs/>
          <w:lang w:bidi="te-IN"/>
        </w:rPr>
        <w:t xml:space="preserve"> P</w:t>
      </w:r>
      <w:r w:rsidRPr="00D339F4">
        <w:rPr>
          <w:vertAlign w:val="subscript"/>
          <w:lang w:bidi="te-IN"/>
        </w:rPr>
        <w:t xml:space="preserve"> </w:t>
      </w:r>
      <w:r w:rsidRPr="00D339F4">
        <w:rPr>
          <w:lang w:bidi="te-IN"/>
        </w:rPr>
        <w:t xml:space="preserve">= </w:t>
      </w:r>
      <w:r w:rsidRPr="00D339F4">
        <w:rPr>
          <w:iCs/>
        </w:rPr>
        <w:t>0</w:t>
      </w:r>
      <w:r w:rsidRPr="00D339F4">
        <w:rPr>
          <w:lang w:bidi="te-IN"/>
        </w:rPr>
        <w:t xml:space="preserve"> and that the maximum slope occurs at </w:t>
      </w:r>
      <w:r w:rsidRPr="00D339F4">
        <w:rPr>
          <w:i/>
          <w:iCs/>
          <w:lang w:bidi="te-IN"/>
        </w:rPr>
        <w:t>P</w:t>
      </w:r>
      <w:r w:rsidRPr="00D339F4">
        <w:rPr>
          <w:vertAlign w:val="subscript"/>
          <w:lang w:bidi="te-IN"/>
        </w:rPr>
        <w:t xml:space="preserve"> </w:t>
      </w:r>
      <w:r w:rsidRPr="00D339F4">
        <w:rPr>
          <w:lang w:bidi="te-IN"/>
        </w:rPr>
        <w:t xml:space="preserve">= </w:t>
      </w:r>
      <w:r w:rsidRPr="00D339F4">
        <w:rPr>
          <w:i/>
          <w:iCs/>
        </w:rPr>
        <w:t>I</w:t>
      </w:r>
      <w:r w:rsidRPr="00D339F4">
        <w:rPr>
          <w:i/>
          <w:iCs/>
          <w:vertAlign w:val="subscript"/>
        </w:rPr>
        <w:t>a</w:t>
      </w:r>
      <w:r w:rsidRPr="00D339F4">
        <w:rPr>
          <w:vertAlign w:val="subscript"/>
        </w:rPr>
        <w:t>,max</w:t>
      </w:r>
      <w:r w:rsidRPr="00D339F4">
        <w:rPr>
          <w:lang w:bidi="te-IN"/>
        </w:rPr>
        <w:t xml:space="preserve">, requires at least two parameters to describe it. However, this along with eq. </w:t>
      </w:r>
      <w:r w:rsidR="00B615A2" w:rsidRPr="00B615A2">
        <w:rPr>
          <w:lang w:bidi="te-IN"/>
        </w:rPr>
        <w:t>(23)</w:t>
      </w:r>
      <w:r w:rsidRPr="00D339F4">
        <w:rPr>
          <w:lang w:bidi="te-IN"/>
        </w:rPr>
        <w:t xml:space="preserve"> would also increase the number of calibrated parameters in the CN method, increasing its complexity and potentially causing non-uniqueness. A relatively simple approach </w:t>
      </w:r>
      <w:r w:rsidRPr="00D339F4">
        <w:rPr>
          <w:lang w:bidi="te-IN"/>
        </w:rPr>
        <w:lastRenderedPageBreak/>
        <w:t xml:space="preserve">is to assume that </w:t>
      </w:r>
      <w:r w:rsidRPr="00D339F4">
        <w:rPr>
          <w:i/>
          <w:iCs/>
          <w:color w:val="000000"/>
        </w:rPr>
        <w:t>S</w:t>
      </w:r>
      <w:r w:rsidRPr="00D339F4">
        <w:rPr>
          <w:i/>
          <w:iCs/>
          <w:color w:val="000000"/>
          <w:vertAlign w:val="subscript"/>
        </w:rPr>
        <w:t>W</w:t>
      </w:r>
      <w:r w:rsidRPr="00D339F4">
        <w:rPr>
          <w:lang w:bidi="te-IN"/>
        </w:rPr>
        <w:t xml:space="preserve"> is constant similar to the conventional CN method. Another approach is to assume that </w:t>
      </w:r>
      <w:r w:rsidRPr="00D339F4">
        <w:rPr>
          <w:i/>
          <w:iCs/>
          <w:color w:val="000000"/>
        </w:rPr>
        <w:t>S</w:t>
      </w:r>
      <w:r w:rsidRPr="00D339F4">
        <w:rPr>
          <w:i/>
          <w:iCs/>
          <w:color w:val="000000"/>
          <w:vertAlign w:val="subscript"/>
        </w:rPr>
        <w:t>W</w:t>
      </w:r>
      <w:r w:rsidRPr="00D339F4">
        <w:rPr>
          <w:lang w:bidi="te-IN"/>
        </w:rPr>
        <w:t xml:space="preserve"> is proportional to</w:t>
      </w:r>
      <w:r w:rsidRPr="00D339F4">
        <w:rPr>
          <w:i/>
          <w:iCs/>
          <w:color w:val="000000"/>
        </w:rPr>
        <w:t xml:space="preserve"> I</w:t>
      </w:r>
      <w:r w:rsidRPr="00D339F4">
        <w:rPr>
          <w:i/>
          <w:iCs/>
          <w:color w:val="000000"/>
          <w:vertAlign w:val="subscript"/>
        </w:rPr>
        <w:t>aW</w:t>
      </w:r>
      <w:r w:rsidRPr="00D339F4">
        <w:rPr>
          <w:lang w:bidi="te-IN"/>
        </w:rPr>
        <w:t xml:space="preserve">, i.e. eq. </w:t>
      </w:r>
      <w:r w:rsidR="00B615A2" w:rsidRPr="00B615A2">
        <w:rPr>
          <w:lang w:bidi="te-IN"/>
        </w:rPr>
        <w:t>(3)</w:t>
      </w:r>
      <w:r w:rsidRPr="00D339F4">
        <w:rPr>
          <w:lang w:bidi="te-IN"/>
        </w:rPr>
        <w:t xml:space="preserve"> is applicable for a heterogeneous watershed.</w:t>
      </w:r>
    </w:p>
    <w:p w:rsidR="00D339F4" w:rsidRPr="00D339F4" w:rsidRDefault="00D339F4" w:rsidP="00835E1E">
      <w:pPr>
        <w:pStyle w:val="NormalNew"/>
        <w:rPr>
          <w:lang w:bidi="te-IN"/>
        </w:rPr>
      </w:pPr>
      <w:r w:rsidRPr="00D339F4">
        <w:rPr>
          <w:lang w:bidi="te-IN"/>
        </w:rPr>
        <w:t xml:space="preserve">Here the emphasis is placed on treating </w:t>
      </w:r>
      <w:r w:rsidRPr="00D339F4">
        <w:rPr>
          <w:i/>
          <w:iCs/>
          <w:color w:val="000000"/>
        </w:rPr>
        <w:t>I</w:t>
      </w:r>
      <w:r w:rsidRPr="00D339F4">
        <w:rPr>
          <w:i/>
          <w:iCs/>
          <w:color w:val="000000"/>
          <w:vertAlign w:val="subscript"/>
        </w:rPr>
        <w:t>aW</w:t>
      </w:r>
      <w:r w:rsidRPr="00D339F4">
        <w:rPr>
          <w:lang w:bidi="te-IN"/>
        </w:rPr>
        <w:t xml:space="preserve"> as a function of </w:t>
      </w:r>
      <w:r w:rsidRPr="00D339F4">
        <w:rPr>
          <w:i/>
          <w:lang w:bidi="te-IN"/>
        </w:rPr>
        <w:t>P</w:t>
      </w:r>
      <w:r w:rsidRPr="00D339F4">
        <w:rPr>
          <w:lang w:bidi="te-IN"/>
        </w:rPr>
        <w:t xml:space="preserve"> while offering some flexibility on how </w:t>
      </w:r>
      <w:r w:rsidRPr="00D339F4">
        <w:rPr>
          <w:i/>
          <w:iCs/>
          <w:color w:val="000000"/>
        </w:rPr>
        <w:t>S</w:t>
      </w:r>
      <w:r w:rsidRPr="00D339F4">
        <w:rPr>
          <w:i/>
          <w:iCs/>
          <w:color w:val="000000"/>
          <w:vertAlign w:val="subscript"/>
        </w:rPr>
        <w:t>W</w:t>
      </w:r>
      <w:r w:rsidRPr="00D339F4">
        <w:rPr>
          <w:lang w:bidi="te-IN"/>
        </w:rPr>
        <w:t xml:space="preserve"> is treated. This is because the variation of</w:t>
      </w:r>
      <w:r w:rsidRPr="00D339F4">
        <w:rPr>
          <w:i/>
          <w:iCs/>
          <w:color w:val="000000"/>
        </w:rPr>
        <w:t xml:space="preserve"> I</w:t>
      </w:r>
      <w:r w:rsidRPr="00D339F4">
        <w:rPr>
          <w:i/>
          <w:iCs/>
          <w:color w:val="000000"/>
          <w:vertAlign w:val="subscript"/>
        </w:rPr>
        <w:t>aW</w:t>
      </w:r>
      <w:r w:rsidRPr="00D339F4">
        <w:rPr>
          <w:lang w:bidi="te-IN"/>
        </w:rPr>
        <w:t xml:space="preserve"> with</w:t>
      </w:r>
      <w:r w:rsidRPr="00D339F4">
        <w:rPr>
          <w:i/>
          <w:lang w:bidi="te-IN"/>
        </w:rPr>
        <w:t xml:space="preserve"> P</w:t>
      </w:r>
      <w:r w:rsidRPr="00D339F4">
        <w:rPr>
          <w:lang w:bidi="te-IN"/>
        </w:rPr>
        <w:t xml:space="preserve"> had a significant impact on the model performance, whereas including the variation of</w:t>
      </w:r>
      <w:r w:rsidRPr="00D339F4">
        <w:rPr>
          <w:i/>
          <w:iCs/>
          <w:color w:val="000000"/>
        </w:rPr>
        <w:t xml:space="preserve"> S</w:t>
      </w:r>
      <w:r w:rsidRPr="00D339F4">
        <w:rPr>
          <w:i/>
          <w:iCs/>
          <w:color w:val="000000"/>
          <w:vertAlign w:val="subscript"/>
        </w:rPr>
        <w:t>W</w:t>
      </w:r>
      <w:r w:rsidRPr="00D339F4">
        <w:rPr>
          <w:lang w:bidi="te-IN"/>
        </w:rPr>
        <w:t xml:space="preserve"> with</w:t>
      </w:r>
      <w:r w:rsidRPr="00D339F4">
        <w:rPr>
          <w:i/>
          <w:lang w:bidi="te-IN"/>
        </w:rPr>
        <w:t xml:space="preserve"> P</w:t>
      </w:r>
      <w:r w:rsidRPr="00D339F4">
        <w:rPr>
          <w:lang w:bidi="te-IN"/>
        </w:rPr>
        <w:t xml:space="preserve"> showed only marginal or no improvement. This may be because</w:t>
      </w:r>
      <w:r w:rsidRPr="00D339F4">
        <w:rPr>
          <w:i/>
          <w:iCs/>
          <w:color w:val="000000"/>
        </w:rPr>
        <w:t xml:space="preserve"> I</w:t>
      </w:r>
      <w:r w:rsidRPr="00D339F4">
        <w:rPr>
          <w:i/>
          <w:iCs/>
          <w:color w:val="000000"/>
          <w:vertAlign w:val="subscript"/>
        </w:rPr>
        <w:t>aW</w:t>
      </w:r>
      <w:r w:rsidRPr="00D339F4">
        <w:rPr>
          <w:lang w:bidi="te-IN"/>
        </w:rPr>
        <w:t xml:space="preserve"> is a component of mass balance [eq. </w:t>
      </w:r>
      <w:r w:rsidR="00B615A2" w:rsidRPr="00B615A2">
        <w:rPr>
          <w:lang w:bidi="te-IN"/>
        </w:rPr>
        <w:t>(1)</w:t>
      </w:r>
      <w:r w:rsidRPr="00D339F4">
        <w:rPr>
          <w:lang w:bidi="te-IN"/>
        </w:rPr>
        <w:t>] while</w:t>
      </w:r>
      <w:r w:rsidRPr="00D339F4">
        <w:rPr>
          <w:i/>
          <w:iCs/>
          <w:color w:val="000000"/>
        </w:rPr>
        <w:t xml:space="preserve"> S</w:t>
      </w:r>
      <w:r w:rsidRPr="00D339F4">
        <w:rPr>
          <w:i/>
          <w:iCs/>
          <w:color w:val="000000"/>
          <w:vertAlign w:val="subscript"/>
        </w:rPr>
        <w:t>W</w:t>
      </w:r>
      <w:r w:rsidRPr="00D339F4">
        <w:rPr>
          <w:lang w:bidi="te-IN"/>
        </w:rPr>
        <w:t xml:space="preserve"> is not. </w:t>
      </w:r>
      <w:r w:rsidRPr="00D339F4">
        <w:rPr>
          <w:i/>
          <w:iCs/>
          <w:color w:val="000000"/>
        </w:rPr>
        <w:t>F</w:t>
      </w:r>
      <w:r w:rsidRPr="00D339F4">
        <w:rPr>
          <w:i/>
          <w:iCs/>
          <w:color w:val="000000"/>
          <w:vertAlign w:val="subscript"/>
        </w:rPr>
        <w:t>W</w:t>
      </w:r>
      <w:r w:rsidRPr="00D339F4">
        <w:rPr>
          <w:lang w:bidi="te-IN"/>
        </w:rPr>
        <w:t xml:space="preserve">, which is the filled portion of </w:t>
      </w:r>
      <w:r w:rsidRPr="00D339F4">
        <w:rPr>
          <w:i/>
          <w:iCs/>
          <w:color w:val="000000"/>
        </w:rPr>
        <w:t>S</w:t>
      </w:r>
      <w:r w:rsidRPr="00D339F4">
        <w:rPr>
          <w:i/>
          <w:iCs/>
          <w:color w:val="000000"/>
          <w:vertAlign w:val="subscript"/>
        </w:rPr>
        <w:t>W</w:t>
      </w:r>
      <w:r w:rsidRPr="00D339F4">
        <w:rPr>
          <w:lang w:bidi="te-IN"/>
        </w:rPr>
        <w:t xml:space="preserve">, is a component of mass balance and varies with </w:t>
      </w:r>
      <w:r w:rsidRPr="00D339F4">
        <w:rPr>
          <w:i/>
          <w:lang w:bidi="te-IN"/>
        </w:rPr>
        <w:t>P</w:t>
      </w:r>
      <w:r w:rsidRPr="00D339F4">
        <w:rPr>
          <w:lang w:bidi="te-IN"/>
        </w:rPr>
        <w:t xml:space="preserve"> even if </w:t>
      </w:r>
      <w:r w:rsidRPr="00D339F4">
        <w:rPr>
          <w:i/>
          <w:iCs/>
          <w:color w:val="000000"/>
        </w:rPr>
        <w:t>S</w:t>
      </w:r>
      <w:r w:rsidRPr="00D339F4">
        <w:rPr>
          <w:i/>
          <w:iCs/>
          <w:color w:val="000000"/>
          <w:vertAlign w:val="subscript"/>
        </w:rPr>
        <w:t>W</w:t>
      </w:r>
      <w:r w:rsidRPr="00D339F4">
        <w:rPr>
          <w:lang w:bidi="te-IN"/>
        </w:rPr>
        <w:t xml:space="preserve"> is assumed to be a constant. Therefore, to maintain the simplicity of the CN method and avoid the problems of over-parameterization and non-uniqueness, modeling the sigmoid-shaped function of</w:t>
      </w:r>
      <w:r w:rsidRPr="00D339F4">
        <w:rPr>
          <w:i/>
          <w:iCs/>
          <w:color w:val="000000"/>
        </w:rPr>
        <w:t xml:space="preserve"> S</w:t>
      </w:r>
      <w:r w:rsidRPr="00D339F4">
        <w:rPr>
          <w:i/>
          <w:iCs/>
          <w:color w:val="000000"/>
          <w:vertAlign w:val="subscript"/>
        </w:rPr>
        <w:t>W</w:t>
      </w:r>
      <w:r w:rsidRPr="00D339F4">
        <w:rPr>
          <w:lang w:bidi="te-IN"/>
        </w:rPr>
        <w:t xml:space="preserve"> is omitted.</w:t>
      </w:r>
    </w:p>
    <w:p w:rsidR="00D339F4" w:rsidRPr="00D339F4" w:rsidRDefault="00D339F4" w:rsidP="00D339F4">
      <w:pPr>
        <w:pStyle w:val="Heading3"/>
        <w:rPr>
          <w:lang w:bidi="te-IN"/>
        </w:rPr>
      </w:pPr>
      <w:bookmarkStart w:id="76" w:name="_Toc479817867"/>
      <w:bookmarkStart w:id="77" w:name="_Toc481658243"/>
      <w:r w:rsidRPr="00D339F4">
        <w:rPr>
          <w:lang w:bidi="te-IN"/>
        </w:rPr>
        <w:t>4.3. Lumped Parameter Models</w:t>
      </w:r>
      <w:bookmarkEnd w:id="76"/>
      <w:bookmarkEnd w:id="77"/>
    </w:p>
    <w:p w:rsidR="00D339F4" w:rsidRPr="00D339F4" w:rsidRDefault="00D339F4" w:rsidP="00835E1E">
      <w:pPr>
        <w:pStyle w:val="NormalNew"/>
        <w:rPr>
          <w:lang w:bidi="te-IN"/>
        </w:rPr>
      </w:pPr>
      <w:r w:rsidRPr="00D339F4">
        <w:rPr>
          <w:lang w:bidi="te-IN"/>
        </w:rPr>
        <w:t xml:space="preserve">Lumped parameter application of the CN method was modified by treating </w:t>
      </w:r>
      <w:r w:rsidRPr="00D339F4">
        <w:rPr>
          <w:i/>
          <w:iCs/>
          <w:color w:val="000000"/>
        </w:rPr>
        <w:t>I</w:t>
      </w:r>
      <w:r w:rsidRPr="00D339F4">
        <w:rPr>
          <w:i/>
          <w:iCs/>
          <w:color w:val="000000"/>
          <w:vertAlign w:val="subscript"/>
        </w:rPr>
        <w:t>aW</w:t>
      </w:r>
      <w:r w:rsidRPr="00D339F4">
        <w:rPr>
          <w:lang w:bidi="te-IN"/>
        </w:rPr>
        <w:t xml:space="preserve"> as a function of </w:t>
      </w:r>
      <w:r w:rsidRPr="00D339F4">
        <w:rPr>
          <w:i/>
          <w:lang w:bidi="te-IN"/>
        </w:rPr>
        <w:t>P</w:t>
      </w:r>
      <w:r w:rsidRPr="00D339F4">
        <w:rPr>
          <w:lang w:bidi="te-IN"/>
        </w:rPr>
        <w:t xml:space="preserve"> as described in the previous section. Modified lumped parameter CN models were evaluated by comparing their performance with that of</w:t>
      </w:r>
      <w:r w:rsidRPr="00D339F4">
        <w:t xml:space="preserve"> the conventional </w:t>
      </w:r>
      <w:r w:rsidRPr="00D339F4">
        <w:rPr>
          <w:lang w:bidi="te-IN"/>
        </w:rPr>
        <w:t>lumped parameter CN</w:t>
      </w:r>
      <w:r w:rsidRPr="00D339F4">
        <w:t xml:space="preserve"> models.</w:t>
      </w:r>
    </w:p>
    <w:p w:rsidR="00D339F4" w:rsidRPr="00D339F4" w:rsidRDefault="00D339F4" w:rsidP="00D339F4">
      <w:pPr>
        <w:pStyle w:val="Heading4"/>
      </w:pPr>
      <w:r w:rsidRPr="00D339F4">
        <w:rPr>
          <w:lang w:bidi="te-IN"/>
        </w:rPr>
        <w:t>4.3.1. Conventional Models (CMs)</w:t>
      </w:r>
    </w:p>
    <w:p w:rsidR="00D339F4" w:rsidRPr="00D339F4" w:rsidRDefault="00D339F4" w:rsidP="004A14A3">
      <w:pPr>
        <w:pStyle w:val="NormalNew"/>
        <w:rPr>
          <w:lang w:bidi="te-IN"/>
        </w:rPr>
      </w:pPr>
      <w:r w:rsidRPr="00D339F4">
        <w:rPr>
          <w:lang w:bidi="te-IN"/>
        </w:rPr>
        <w:t xml:space="preserve">Conventional CN models are defined by eqs. </w:t>
      </w:r>
      <w:r w:rsidR="00B615A2" w:rsidRPr="00B615A2">
        <w:rPr>
          <w:lang w:bidi="te-IN"/>
        </w:rPr>
        <w:t>(1)</w:t>
      </w:r>
      <w:r w:rsidRPr="00D339F4">
        <w:rPr>
          <w:lang w:bidi="te-IN"/>
        </w:rPr>
        <w:t xml:space="preserve"> through </w:t>
      </w:r>
      <w:r w:rsidR="00B615A2" w:rsidRPr="00B615A2">
        <w:rPr>
          <w:lang w:bidi="te-IN"/>
        </w:rPr>
        <w:t>(5)</w:t>
      </w:r>
      <w:r w:rsidRPr="00D339F4">
        <w:rPr>
          <w:lang w:bidi="te-IN"/>
        </w:rPr>
        <w:t xml:space="preserve">, and by the assumption that </w:t>
      </w:r>
      <w:r w:rsidRPr="00D339F4">
        <w:rPr>
          <w:i/>
          <w:iCs/>
          <w:color w:val="000000"/>
        </w:rPr>
        <w:t>I</w:t>
      </w:r>
      <w:r w:rsidRPr="00D339F4">
        <w:rPr>
          <w:i/>
          <w:iCs/>
          <w:color w:val="000000"/>
          <w:vertAlign w:val="subscript"/>
        </w:rPr>
        <w:t>aW</w:t>
      </w:r>
      <w:r w:rsidRPr="00D339F4">
        <w:rPr>
          <w:lang w:bidi="te-IN"/>
        </w:rPr>
        <w:t xml:space="preserve"> and </w:t>
      </w:r>
      <w:r w:rsidRPr="00D339F4">
        <w:rPr>
          <w:i/>
          <w:iCs/>
          <w:color w:val="000000"/>
        </w:rPr>
        <w:t>S</w:t>
      </w:r>
      <w:r w:rsidRPr="00D339F4">
        <w:rPr>
          <w:i/>
          <w:iCs/>
          <w:color w:val="000000"/>
          <w:vertAlign w:val="subscript"/>
        </w:rPr>
        <w:t>W</w:t>
      </w:r>
      <w:r w:rsidRPr="00D339F4">
        <w:rPr>
          <w:lang w:bidi="te-IN"/>
        </w:rPr>
        <w:t xml:space="preserve"> are independent of </w:t>
      </w:r>
      <w:r w:rsidRPr="00D339F4">
        <w:rPr>
          <w:i/>
          <w:lang w:bidi="te-IN"/>
        </w:rPr>
        <w:t>P</w:t>
      </w:r>
      <w:r w:rsidRPr="00D339F4">
        <w:rPr>
          <w:lang w:bidi="te-IN"/>
        </w:rPr>
        <w:t xml:space="preserve">. In this study two types of conventional models, referred to as </w:t>
      </w:r>
      <w:r w:rsidRPr="00D339F4">
        <w:rPr>
          <w:iCs/>
        </w:rPr>
        <w:t>CM0.2</w:t>
      </w:r>
      <w:r w:rsidRPr="00D339F4">
        <w:rPr>
          <w:lang w:bidi="te-IN"/>
        </w:rPr>
        <w:t xml:space="preserve"> and </w:t>
      </w:r>
      <w:r w:rsidRPr="00D339F4">
        <w:rPr>
          <w:iCs/>
        </w:rPr>
        <w:t>CMλ</w:t>
      </w:r>
      <w:r w:rsidRPr="00D339F4">
        <w:rPr>
          <w:lang w:bidi="te-IN"/>
        </w:rPr>
        <w:t>, were used. In</w:t>
      </w:r>
      <w:r w:rsidRPr="00D339F4">
        <w:rPr>
          <w:iCs/>
        </w:rPr>
        <w:t xml:space="preserve"> CM0.2</w:t>
      </w:r>
      <w:r w:rsidRPr="00D339F4">
        <w:rPr>
          <w:lang w:bidi="te-IN"/>
        </w:rPr>
        <w:t xml:space="preserve">, </w:t>
      </w:r>
      <w:r w:rsidRPr="00D339F4">
        <w:rPr>
          <w:i/>
          <w:iCs/>
        </w:rPr>
        <w:t>λ</w:t>
      </w:r>
      <w:r w:rsidRPr="00D339F4">
        <w:rPr>
          <w:i/>
          <w:iCs/>
          <w:vertAlign w:val="subscript"/>
        </w:rPr>
        <w:t>W</w:t>
      </w:r>
      <w:r w:rsidRPr="00D339F4">
        <w:rPr>
          <w:lang w:bidi="te-IN"/>
        </w:rPr>
        <w:t xml:space="preserve"> was fixed at 0.2, and in </w:t>
      </w:r>
      <w:r w:rsidRPr="00D339F4">
        <w:rPr>
          <w:iCs/>
        </w:rPr>
        <w:t>CMλ</w:t>
      </w:r>
      <w:r w:rsidRPr="00D339F4">
        <w:rPr>
          <w:lang w:bidi="te-IN"/>
        </w:rPr>
        <w:t xml:space="preserve">, </w:t>
      </w:r>
      <w:r w:rsidRPr="00D339F4">
        <w:rPr>
          <w:i/>
          <w:iCs/>
        </w:rPr>
        <w:t>λ</w:t>
      </w:r>
      <w:r w:rsidRPr="00D339F4">
        <w:rPr>
          <w:i/>
          <w:iCs/>
          <w:vertAlign w:val="subscript"/>
        </w:rPr>
        <w:t>W</w:t>
      </w:r>
      <w:r w:rsidRPr="00D339F4">
        <w:rPr>
          <w:lang w:bidi="te-IN"/>
        </w:rPr>
        <w:t xml:space="preserve"> was determined by calibration. Thus</w:t>
      </w:r>
      <w:r w:rsidRPr="00D339F4">
        <w:rPr>
          <w:iCs/>
        </w:rPr>
        <w:t xml:space="preserve"> CM0.2</w:t>
      </w:r>
      <w:r w:rsidRPr="00D339F4">
        <w:rPr>
          <w:lang w:bidi="te-IN"/>
        </w:rPr>
        <w:t xml:space="preserve"> had one free parameter, </w:t>
      </w:r>
      <w:r w:rsidRPr="00D339F4">
        <w:rPr>
          <w:i/>
          <w:iCs/>
          <w:color w:val="000000"/>
        </w:rPr>
        <w:t>S</w:t>
      </w:r>
      <w:r w:rsidRPr="00D339F4">
        <w:rPr>
          <w:i/>
          <w:iCs/>
          <w:color w:val="000000"/>
          <w:vertAlign w:val="subscript"/>
        </w:rPr>
        <w:t>W</w:t>
      </w:r>
      <w:r w:rsidRPr="00D339F4">
        <w:rPr>
          <w:lang w:bidi="te-IN"/>
        </w:rPr>
        <w:t>, whereas</w:t>
      </w:r>
      <w:r w:rsidRPr="00D339F4">
        <w:rPr>
          <w:iCs/>
        </w:rPr>
        <w:t xml:space="preserve"> CMλ</w:t>
      </w:r>
      <w:r w:rsidRPr="00D339F4">
        <w:rPr>
          <w:lang w:bidi="te-IN"/>
        </w:rPr>
        <w:t xml:space="preserve"> had two free parameters, </w:t>
      </w:r>
      <w:r w:rsidRPr="00D339F4">
        <w:rPr>
          <w:i/>
          <w:iCs/>
        </w:rPr>
        <w:t>λ</w:t>
      </w:r>
      <w:r w:rsidRPr="00D339F4">
        <w:rPr>
          <w:i/>
          <w:iCs/>
          <w:vertAlign w:val="subscript"/>
        </w:rPr>
        <w:t>W</w:t>
      </w:r>
      <w:r w:rsidRPr="00D339F4">
        <w:rPr>
          <w:lang w:bidi="te-IN"/>
        </w:rPr>
        <w:t xml:space="preserve"> and </w:t>
      </w:r>
      <w:r w:rsidRPr="00D339F4">
        <w:rPr>
          <w:i/>
          <w:iCs/>
          <w:color w:val="000000"/>
        </w:rPr>
        <w:t>S</w:t>
      </w:r>
      <w:r w:rsidRPr="00D339F4">
        <w:rPr>
          <w:i/>
          <w:iCs/>
          <w:color w:val="000000"/>
          <w:vertAlign w:val="subscript"/>
        </w:rPr>
        <w:t>W</w:t>
      </w:r>
      <w:r w:rsidRPr="00D339F4">
        <w:rPr>
          <w:lang w:bidi="te-IN"/>
        </w:rPr>
        <w:t>.</w:t>
      </w:r>
    </w:p>
    <w:p w:rsidR="00D339F4" w:rsidRPr="00D339F4" w:rsidRDefault="00D339F4" w:rsidP="00D339F4">
      <w:pPr>
        <w:pStyle w:val="Heading4"/>
      </w:pPr>
      <w:r w:rsidRPr="00D339F4">
        <w:t xml:space="preserve">4.3.2. </w:t>
      </w:r>
      <w:r w:rsidRPr="00D339F4">
        <w:rPr>
          <w:lang w:bidi="te-IN"/>
        </w:rPr>
        <w:t>Variable Initial Abstraction Models (VIMs)</w:t>
      </w:r>
    </w:p>
    <w:p w:rsidR="00D339F4" w:rsidRPr="00D339F4" w:rsidRDefault="00D339F4" w:rsidP="004A14A3">
      <w:pPr>
        <w:pStyle w:val="NormalNew"/>
        <w:rPr>
          <w:lang w:bidi="te-IN"/>
        </w:rPr>
      </w:pPr>
      <w:r w:rsidRPr="00D339F4">
        <w:rPr>
          <w:lang w:bidi="te-IN"/>
        </w:rPr>
        <w:t xml:space="preserve">VIMs are defined by eqs. </w:t>
      </w:r>
      <w:r w:rsidR="00B615A2" w:rsidRPr="00B615A2">
        <w:rPr>
          <w:lang w:bidi="te-IN"/>
        </w:rPr>
        <w:t>(1)</w:t>
      </w:r>
      <w:r w:rsidRPr="00D339F4">
        <w:rPr>
          <w:lang w:bidi="te-IN"/>
        </w:rPr>
        <w:t xml:space="preserve">, </w:t>
      </w:r>
      <w:r w:rsidR="00B615A2" w:rsidRPr="00B615A2">
        <w:rPr>
          <w:lang w:bidi="te-IN"/>
        </w:rPr>
        <w:t>(2)</w:t>
      </w:r>
      <w:r w:rsidRPr="00D339F4">
        <w:rPr>
          <w:lang w:bidi="te-IN"/>
        </w:rPr>
        <w:t xml:space="preserve">, </w:t>
      </w:r>
      <w:r w:rsidR="00B615A2" w:rsidRPr="00B615A2">
        <w:rPr>
          <w:lang w:bidi="te-IN"/>
        </w:rPr>
        <w:t>(4)</w:t>
      </w:r>
      <w:r w:rsidRPr="00D339F4">
        <w:rPr>
          <w:lang w:bidi="te-IN"/>
        </w:rPr>
        <w:t xml:space="preserve">, </w:t>
      </w:r>
      <w:r w:rsidR="00B615A2" w:rsidRPr="00B615A2">
        <w:rPr>
          <w:lang w:bidi="te-IN"/>
        </w:rPr>
        <w:t>(5)</w:t>
      </w:r>
      <w:r w:rsidRPr="00D339F4">
        <w:rPr>
          <w:lang w:bidi="te-IN"/>
        </w:rPr>
        <w:t xml:space="preserve">, and </w:t>
      </w:r>
      <w:r w:rsidR="00B615A2" w:rsidRPr="00B615A2">
        <w:rPr>
          <w:lang w:bidi="te-IN"/>
        </w:rPr>
        <w:t>(23)</w:t>
      </w:r>
      <w:r w:rsidRPr="00D339F4">
        <w:rPr>
          <w:lang w:bidi="te-IN"/>
        </w:rPr>
        <w:t>, and they have three free parameters. If</w:t>
      </w:r>
      <w:r w:rsidRPr="00D339F4">
        <w:rPr>
          <w:i/>
          <w:iCs/>
          <w:color w:val="000000"/>
        </w:rPr>
        <w:t xml:space="preserve"> S</w:t>
      </w:r>
      <w:r w:rsidRPr="00D339F4">
        <w:rPr>
          <w:i/>
          <w:iCs/>
          <w:color w:val="000000"/>
          <w:vertAlign w:val="subscript"/>
        </w:rPr>
        <w:t>W</w:t>
      </w:r>
      <w:r w:rsidRPr="00D339F4">
        <w:rPr>
          <w:lang w:bidi="te-IN"/>
        </w:rPr>
        <w:t xml:space="preserve"> is assumed to be independent of </w:t>
      </w:r>
      <w:r w:rsidRPr="00D339F4">
        <w:rPr>
          <w:i/>
          <w:lang w:bidi="te-IN"/>
        </w:rPr>
        <w:t>P</w:t>
      </w:r>
      <w:r w:rsidRPr="00D339F4">
        <w:rPr>
          <w:lang w:bidi="te-IN"/>
        </w:rPr>
        <w:t xml:space="preserve">, then the model requires calibration of </w:t>
      </w:r>
      <w:r w:rsidRPr="00D339F4">
        <w:rPr>
          <w:i/>
          <w:iCs/>
          <w:lang w:bidi="te-IN"/>
        </w:rPr>
        <w:t>c</w:t>
      </w:r>
      <w:r w:rsidRPr="00D339F4">
        <w:rPr>
          <w:iCs/>
          <w:szCs w:val="20"/>
          <w:vertAlign w:val="subscript"/>
          <w:lang w:bidi="te-IN"/>
        </w:rPr>
        <w:t>1</w:t>
      </w:r>
      <w:r w:rsidRPr="00D339F4">
        <w:rPr>
          <w:lang w:bidi="te-IN"/>
        </w:rPr>
        <w:t xml:space="preserve">, </w:t>
      </w:r>
      <w:r w:rsidRPr="00D339F4">
        <w:rPr>
          <w:i/>
          <w:iCs/>
          <w:lang w:bidi="te-IN"/>
        </w:rPr>
        <w:t>c</w:t>
      </w:r>
      <w:r w:rsidRPr="00D339F4">
        <w:rPr>
          <w:iCs/>
          <w:szCs w:val="20"/>
          <w:vertAlign w:val="subscript"/>
          <w:lang w:bidi="te-IN"/>
        </w:rPr>
        <w:t>2</w:t>
      </w:r>
      <w:r w:rsidRPr="00D339F4">
        <w:rPr>
          <w:lang w:bidi="te-IN"/>
        </w:rPr>
        <w:t xml:space="preserve">, and </w:t>
      </w:r>
      <w:r w:rsidRPr="00D339F4">
        <w:rPr>
          <w:i/>
          <w:iCs/>
          <w:color w:val="000000"/>
        </w:rPr>
        <w:t>S</w:t>
      </w:r>
      <w:r w:rsidRPr="00D339F4">
        <w:rPr>
          <w:i/>
          <w:iCs/>
          <w:color w:val="000000"/>
          <w:vertAlign w:val="subscript"/>
        </w:rPr>
        <w:t>W</w:t>
      </w:r>
      <w:r w:rsidRPr="00D339F4">
        <w:rPr>
          <w:lang w:bidi="te-IN"/>
        </w:rPr>
        <w:t xml:space="preserve">, and is referred to as VIMS. If eq. </w:t>
      </w:r>
      <w:r w:rsidR="00B615A2" w:rsidRPr="00B615A2">
        <w:rPr>
          <w:lang w:bidi="te-IN"/>
        </w:rPr>
        <w:t>(3)</w:t>
      </w:r>
      <w:r w:rsidRPr="00D339F4">
        <w:rPr>
          <w:lang w:bidi="te-IN"/>
        </w:rPr>
        <w:t xml:space="preserve"> is also included, then the model requires calibration of </w:t>
      </w:r>
      <w:r w:rsidRPr="00D339F4">
        <w:rPr>
          <w:i/>
          <w:iCs/>
          <w:lang w:bidi="te-IN"/>
        </w:rPr>
        <w:t>c</w:t>
      </w:r>
      <w:r w:rsidRPr="00D339F4">
        <w:rPr>
          <w:iCs/>
          <w:szCs w:val="20"/>
          <w:vertAlign w:val="subscript"/>
          <w:lang w:bidi="te-IN"/>
        </w:rPr>
        <w:t>1</w:t>
      </w:r>
      <w:r w:rsidRPr="00D339F4">
        <w:rPr>
          <w:lang w:bidi="te-IN"/>
        </w:rPr>
        <w:t xml:space="preserve">, </w:t>
      </w:r>
      <w:r w:rsidRPr="00D339F4">
        <w:rPr>
          <w:i/>
          <w:iCs/>
          <w:lang w:bidi="te-IN"/>
        </w:rPr>
        <w:t>c</w:t>
      </w:r>
      <w:r w:rsidRPr="00D339F4">
        <w:rPr>
          <w:iCs/>
          <w:szCs w:val="20"/>
          <w:vertAlign w:val="subscript"/>
          <w:lang w:bidi="te-IN"/>
        </w:rPr>
        <w:t>2</w:t>
      </w:r>
      <w:r w:rsidRPr="00D339F4">
        <w:rPr>
          <w:lang w:bidi="te-IN"/>
        </w:rPr>
        <w:t xml:space="preserve">, and </w:t>
      </w:r>
      <w:r w:rsidRPr="00D339F4">
        <w:rPr>
          <w:i/>
          <w:iCs/>
        </w:rPr>
        <w:t>λ</w:t>
      </w:r>
      <w:r w:rsidRPr="00D339F4">
        <w:rPr>
          <w:i/>
          <w:iCs/>
          <w:vertAlign w:val="subscript"/>
        </w:rPr>
        <w:t>W</w:t>
      </w:r>
      <w:r w:rsidRPr="00D339F4">
        <w:rPr>
          <w:lang w:bidi="te-IN"/>
        </w:rPr>
        <w:t>, and is referred to as VIMλ.</w:t>
      </w:r>
    </w:p>
    <w:p w:rsidR="00D339F4" w:rsidRPr="00D339F4" w:rsidRDefault="00D339F4" w:rsidP="00D339F4">
      <w:pPr>
        <w:pStyle w:val="Heading2"/>
        <w:rPr>
          <w:lang w:bidi="te-IN"/>
        </w:rPr>
      </w:pPr>
      <w:bookmarkStart w:id="78" w:name="_Toc479817868"/>
      <w:bookmarkStart w:id="79" w:name="_Toc481658244"/>
      <w:r w:rsidRPr="00D339F4">
        <w:rPr>
          <w:lang w:bidi="te-IN"/>
        </w:rPr>
        <w:t>5. Evaluation</w:t>
      </w:r>
      <w:bookmarkEnd w:id="78"/>
      <w:bookmarkEnd w:id="79"/>
    </w:p>
    <w:p w:rsidR="004A14A3" w:rsidRPr="00D339F4" w:rsidRDefault="00D339F4" w:rsidP="004A14A3">
      <w:pPr>
        <w:pStyle w:val="NormalNew"/>
        <w:rPr>
          <w:lang w:bidi="te-IN"/>
        </w:rPr>
      </w:pPr>
      <w:r w:rsidRPr="00D339F4">
        <w:rPr>
          <w:lang w:bidi="te-IN"/>
        </w:rPr>
        <w:t xml:space="preserve">Lumped parameter models described in the previous section were evaluated in their ability to predict runoff and account for watershed heterogeneity. Accounting for heterogeneity means that the model accurately predicts </w:t>
      </w:r>
      <w:r w:rsidRPr="00D339F4">
        <w:rPr>
          <w:i/>
          <w:iCs/>
          <w:color w:val="000000"/>
        </w:rPr>
        <w:t>I</w:t>
      </w:r>
      <w:r w:rsidRPr="00D339F4">
        <w:rPr>
          <w:i/>
          <w:iCs/>
          <w:color w:val="000000"/>
          <w:vertAlign w:val="subscript"/>
        </w:rPr>
        <w:t>aW</w:t>
      </w:r>
      <w:r w:rsidRPr="00D339F4">
        <w:rPr>
          <w:lang w:bidi="te-IN"/>
        </w:rPr>
        <w:t xml:space="preserve"> and </w:t>
      </w:r>
      <w:r w:rsidRPr="00D339F4">
        <w:rPr>
          <w:i/>
          <w:iCs/>
          <w:color w:val="000000"/>
        </w:rPr>
        <w:t>S</w:t>
      </w:r>
      <w:r w:rsidRPr="00D339F4">
        <w:rPr>
          <w:i/>
          <w:iCs/>
          <w:color w:val="000000"/>
          <w:vertAlign w:val="subscript"/>
        </w:rPr>
        <w:t>W</w:t>
      </w:r>
      <w:r w:rsidRPr="00D339F4">
        <w:rPr>
          <w:lang w:bidi="te-IN"/>
        </w:rPr>
        <w:t xml:space="preserve">, and runoff from smaller events. This is because (i) </w:t>
      </w:r>
      <w:r w:rsidRPr="00D339F4">
        <w:rPr>
          <w:i/>
          <w:iCs/>
          <w:color w:val="000000"/>
        </w:rPr>
        <w:t>I</w:t>
      </w:r>
      <w:r w:rsidRPr="00D339F4">
        <w:rPr>
          <w:i/>
          <w:iCs/>
          <w:color w:val="000000"/>
          <w:vertAlign w:val="subscript"/>
        </w:rPr>
        <w:t>aW</w:t>
      </w:r>
      <w:r w:rsidRPr="00D339F4">
        <w:rPr>
          <w:lang w:bidi="te-IN"/>
        </w:rPr>
        <w:t xml:space="preserve"> and </w:t>
      </w:r>
      <w:r w:rsidRPr="00D339F4">
        <w:rPr>
          <w:i/>
          <w:iCs/>
          <w:color w:val="000000"/>
        </w:rPr>
        <w:t>S</w:t>
      </w:r>
      <w:r w:rsidRPr="00D339F4">
        <w:rPr>
          <w:i/>
          <w:iCs/>
          <w:color w:val="000000"/>
          <w:vertAlign w:val="subscript"/>
        </w:rPr>
        <w:t>W</w:t>
      </w:r>
      <w:r w:rsidRPr="00D339F4">
        <w:rPr>
          <w:lang w:bidi="te-IN"/>
        </w:rPr>
        <w:t xml:space="preserve"> as functions of </w:t>
      </w:r>
      <w:r w:rsidRPr="00D339F4">
        <w:rPr>
          <w:i/>
          <w:lang w:bidi="te-IN"/>
        </w:rPr>
        <w:t>P</w:t>
      </w:r>
      <w:r w:rsidRPr="00D339F4">
        <w:rPr>
          <w:lang w:bidi="te-IN"/>
        </w:rPr>
        <w:t xml:space="preserve"> are directly related to heterogeneity, and (ii) inability to account for their variation with </w:t>
      </w:r>
      <w:r w:rsidRPr="00D339F4">
        <w:rPr>
          <w:i/>
          <w:lang w:bidi="te-IN"/>
        </w:rPr>
        <w:t>P</w:t>
      </w:r>
      <w:r w:rsidRPr="00D339F4">
        <w:rPr>
          <w:lang w:bidi="te-IN"/>
        </w:rPr>
        <w:t xml:space="preserve"> causes under-estimation of runoff in smaller events.</w:t>
      </w:r>
    </w:p>
    <w:p w:rsidR="00D339F4" w:rsidRPr="00D339F4" w:rsidRDefault="00D339F4" w:rsidP="004A14A3">
      <w:pPr>
        <w:pStyle w:val="NormalNew"/>
        <w:rPr>
          <w:lang w:bidi="te-IN"/>
        </w:rPr>
      </w:pPr>
      <w:r w:rsidRPr="00D339F4">
        <w:rPr>
          <w:lang w:bidi="te-IN"/>
        </w:rPr>
        <w:lastRenderedPageBreak/>
        <w:t xml:space="preserve">Evaluation of lumped parameter models requires the data for </w:t>
      </w:r>
      <w:r w:rsidRPr="00D339F4">
        <w:rPr>
          <w:i/>
          <w:iCs/>
          <w:color w:val="000000"/>
        </w:rPr>
        <w:t>I</w:t>
      </w:r>
      <w:r w:rsidRPr="00D339F4">
        <w:rPr>
          <w:i/>
          <w:iCs/>
          <w:color w:val="000000"/>
          <w:vertAlign w:val="subscript"/>
        </w:rPr>
        <w:t>aW</w:t>
      </w:r>
      <w:r w:rsidRPr="00D339F4">
        <w:rPr>
          <w:lang w:bidi="te-IN"/>
        </w:rPr>
        <w:t xml:space="preserve">, </w:t>
      </w:r>
      <w:r w:rsidRPr="00D339F4">
        <w:rPr>
          <w:i/>
          <w:iCs/>
          <w:color w:val="000000"/>
        </w:rPr>
        <w:t>Q</w:t>
      </w:r>
      <w:r w:rsidRPr="00D339F4">
        <w:rPr>
          <w:i/>
          <w:iCs/>
          <w:color w:val="000000"/>
          <w:vertAlign w:val="subscript"/>
        </w:rPr>
        <w:t>W</w:t>
      </w:r>
      <w:r w:rsidRPr="00D339F4">
        <w:rPr>
          <w:lang w:bidi="te-IN"/>
        </w:rPr>
        <w:t xml:space="preserve"> and </w:t>
      </w:r>
      <w:r w:rsidRPr="00D339F4">
        <w:rPr>
          <w:i/>
          <w:iCs/>
          <w:color w:val="000000"/>
        </w:rPr>
        <w:t>S</w:t>
      </w:r>
      <w:r w:rsidRPr="00D339F4">
        <w:rPr>
          <w:i/>
          <w:iCs/>
          <w:color w:val="000000"/>
          <w:vertAlign w:val="subscript"/>
        </w:rPr>
        <w:t>W</w:t>
      </w:r>
      <w:r w:rsidRPr="00D339F4">
        <w:rPr>
          <w:lang w:bidi="te-IN"/>
        </w:rPr>
        <w:t>. This is generated using a distributed parameter model application of the CN method. The assumption is that a distributed parameter model accounts for heterogeneity, and therefore its estimates of</w:t>
      </w:r>
      <w:r w:rsidRPr="00D339F4">
        <w:rPr>
          <w:i/>
          <w:lang w:bidi="te-IN"/>
        </w:rPr>
        <w:t xml:space="preserve"> </w:t>
      </w:r>
      <w:r w:rsidRPr="00D339F4">
        <w:rPr>
          <w:i/>
          <w:iCs/>
          <w:color w:val="000000"/>
        </w:rPr>
        <w:t>I</w:t>
      </w:r>
      <w:r w:rsidRPr="00D339F4">
        <w:rPr>
          <w:i/>
          <w:iCs/>
          <w:color w:val="000000"/>
          <w:vertAlign w:val="subscript"/>
        </w:rPr>
        <w:t>aW</w:t>
      </w:r>
      <w:r w:rsidRPr="00D339F4">
        <w:rPr>
          <w:lang w:bidi="te-IN"/>
        </w:rPr>
        <w:t xml:space="preserve">, </w:t>
      </w:r>
      <w:r w:rsidRPr="00D339F4">
        <w:rPr>
          <w:i/>
          <w:iCs/>
          <w:color w:val="000000"/>
        </w:rPr>
        <w:t>Q</w:t>
      </w:r>
      <w:r w:rsidRPr="00D339F4">
        <w:rPr>
          <w:i/>
          <w:iCs/>
          <w:color w:val="000000"/>
          <w:vertAlign w:val="subscript"/>
        </w:rPr>
        <w:t>W</w:t>
      </w:r>
      <w:r w:rsidRPr="00D339F4">
        <w:rPr>
          <w:lang w:bidi="te-IN"/>
        </w:rPr>
        <w:t xml:space="preserve"> and </w:t>
      </w:r>
      <w:r w:rsidRPr="00D339F4">
        <w:rPr>
          <w:i/>
          <w:iCs/>
          <w:color w:val="000000"/>
        </w:rPr>
        <w:t>S</w:t>
      </w:r>
      <w:r w:rsidRPr="00D339F4">
        <w:rPr>
          <w:i/>
          <w:iCs/>
          <w:color w:val="000000"/>
          <w:vertAlign w:val="subscript"/>
        </w:rPr>
        <w:t>W</w:t>
      </w:r>
      <w:r w:rsidRPr="00D339F4">
        <w:rPr>
          <w:lang w:bidi="te-IN"/>
        </w:rPr>
        <w:t xml:space="preserve"> are accurate.</w:t>
      </w:r>
    </w:p>
    <w:p w:rsidR="00D339F4" w:rsidRPr="00D339F4" w:rsidRDefault="00D339F4" w:rsidP="00D339F4">
      <w:pPr>
        <w:pStyle w:val="Heading3"/>
        <w:rPr>
          <w:lang w:bidi="te-IN"/>
        </w:rPr>
      </w:pPr>
      <w:bookmarkStart w:id="80" w:name="_Toc479817869"/>
      <w:bookmarkStart w:id="81" w:name="_Toc481658245"/>
      <w:r w:rsidRPr="00D339F4">
        <w:rPr>
          <w:lang w:bidi="te-IN"/>
        </w:rPr>
        <w:t>5.1. Distributed Parameter Model</w:t>
      </w:r>
      <w:bookmarkEnd w:id="80"/>
      <w:bookmarkEnd w:id="81"/>
    </w:p>
    <w:p w:rsidR="004A14A3" w:rsidRPr="00D146DB" w:rsidRDefault="00D339F4" w:rsidP="004A14A3">
      <w:pPr>
        <w:pStyle w:val="NormalNew"/>
        <w:rPr>
          <w:iCs/>
          <w:color w:val="000000"/>
        </w:rPr>
      </w:pPr>
      <w:r w:rsidRPr="00D339F4">
        <w:rPr>
          <w:lang w:bidi="te-IN"/>
        </w:rPr>
        <w:t xml:space="preserve">In a distributed parameter model, eqs. </w:t>
      </w:r>
      <w:r w:rsidR="00B615A2" w:rsidRPr="00B615A2">
        <w:rPr>
          <w:lang w:bidi="te-IN"/>
        </w:rPr>
        <w:t>(1)</w:t>
      </w:r>
      <w:r w:rsidRPr="00D339F4">
        <w:rPr>
          <w:lang w:bidi="te-IN"/>
        </w:rPr>
        <w:t xml:space="preserve"> through </w:t>
      </w:r>
      <w:r w:rsidR="00B615A2" w:rsidRPr="00B615A2">
        <w:rPr>
          <w:lang w:bidi="te-IN"/>
        </w:rPr>
        <w:t>(5)</w:t>
      </w:r>
      <w:r w:rsidRPr="00D339F4">
        <w:rPr>
          <w:lang w:bidi="te-IN"/>
        </w:rPr>
        <w:t xml:space="preserve"> are applicable at the HRU scale, with the assumption that </w:t>
      </w:r>
      <w:r w:rsidRPr="00D339F4">
        <w:rPr>
          <w:i/>
          <w:iCs/>
          <w:color w:val="000000"/>
        </w:rPr>
        <w:t>I</w:t>
      </w:r>
      <w:r w:rsidRPr="00D339F4">
        <w:rPr>
          <w:i/>
          <w:iCs/>
          <w:color w:val="000000"/>
          <w:vertAlign w:val="subscript"/>
        </w:rPr>
        <w:t>ai</w:t>
      </w:r>
      <w:r w:rsidRPr="00D339F4">
        <w:rPr>
          <w:lang w:bidi="te-IN"/>
        </w:rPr>
        <w:t xml:space="preserve"> and </w:t>
      </w:r>
      <w:r w:rsidRPr="00D339F4">
        <w:rPr>
          <w:i/>
          <w:iCs/>
          <w:color w:val="000000"/>
        </w:rPr>
        <w:t>S</w:t>
      </w:r>
      <w:r w:rsidRPr="00D339F4">
        <w:rPr>
          <w:i/>
          <w:iCs/>
          <w:color w:val="000000"/>
          <w:vertAlign w:val="subscript"/>
        </w:rPr>
        <w:t>i</w:t>
      </w:r>
      <w:r w:rsidRPr="00D339F4">
        <w:rPr>
          <w:lang w:bidi="te-IN"/>
        </w:rPr>
        <w:t xml:space="preserve"> are independent of </w:t>
      </w:r>
      <w:r w:rsidRPr="00D339F4">
        <w:rPr>
          <w:i/>
          <w:lang w:bidi="te-IN"/>
        </w:rPr>
        <w:t>P</w:t>
      </w:r>
      <w:r w:rsidRPr="00D339F4">
        <w:rPr>
          <w:lang w:bidi="te-IN"/>
        </w:rPr>
        <w:t xml:space="preserve">. Once </w:t>
      </w:r>
      <w:r w:rsidRPr="00D339F4">
        <w:rPr>
          <w:i/>
          <w:iCs/>
          <w:color w:val="000000"/>
        </w:rPr>
        <w:t>Q</w:t>
      </w:r>
      <w:r w:rsidRPr="00D339F4">
        <w:rPr>
          <w:i/>
          <w:iCs/>
          <w:color w:val="000000"/>
          <w:vertAlign w:val="subscript"/>
        </w:rPr>
        <w:t>i</w:t>
      </w:r>
      <w:r w:rsidRPr="00D339F4">
        <w:rPr>
          <w:lang w:bidi="te-IN"/>
        </w:rPr>
        <w:t xml:space="preserve"> and </w:t>
      </w:r>
      <w:r w:rsidRPr="00D339F4">
        <w:rPr>
          <w:i/>
          <w:iCs/>
          <w:color w:val="000000"/>
        </w:rPr>
        <w:t>F</w:t>
      </w:r>
      <w:r w:rsidRPr="00D339F4">
        <w:rPr>
          <w:i/>
          <w:iCs/>
          <w:color w:val="000000"/>
          <w:vertAlign w:val="subscript"/>
        </w:rPr>
        <w:t>i</w:t>
      </w:r>
      <w:r w:rsidRPr="00D339F4">
        <w:rPr>
          <w:lang w:bidi="te-IN"/>
        </w:rPr>
        <w:t xml:space="preserve"> are calculated for each HRU, watershed scale quantities </w:t>
      </w:r>
      <w:r w:rsidRPr="00D339F4">
        <w:rPr>
          <w:i/>
          <w:iCs/>
          <w:color w:val="000000"/>
        </w:rPr>
        <w:t>I</w:t>
      </w:r>
      <w:r w:rsidRPr="00D339F4">
        <w:rPr>
          <w:i/>
          <w:iCs/>
          <w:color w:val="000000"/>
          <w:vertAlign w:val="subscript"/>
        </w:rPr>
        <w:t>aW</w:t>
      </w:r>
      <w:r w:rsidRPr="00D339F4">
        <w:rPr>
          <w:lang w:bidi="te-IN"/>
        </w:rPr>
        <w:t xml:space="preserve">, </w:t>
      </w:r>
      <w:r w:rsidRPr="00D339F4">
        <w:rPr>
          <w:i/>
          <w:iCs/>
          <w:color w:val="000000"/>
        </w:rPr>
        <w:t>Q</w:t>
      </w:r>
      <w:r w:rsidRPr="00D339F4">
        <w:rPr>
          <w:i/>
          <w:iCs/>
          <w:color w:val="000000"/>
          <w:vertAlign w:val="subscript"/>
        </w:rPr>
        <w:t>W</w:t>
      </w:r>
      <w:r w:rsidRPr="00D339F4">
        <w:rPr>
          <w:lang w:bidi="te-IN"/>
        </w:rPr>
        <w:t xml:space="preserve">, </w:t>
      </w:r>
      <w:r w:rsidRPr="00D339F4">
        <w:rPr>
          <w:i/>
          <w:iCs/>
          <w:color w:val="000000"/>
        </w:rPr>
        <w:t>F</w:t>
      </w:r>
      <w:r w:rsidRPr="00D339F4">
        <w:rPr>
          <w:i/>
          <w:iCs/>
          <w:color w:val="000000"/>
          <w:vertAlign w:val="subscript"/>
        </w:rPr>
        <w:t>W</w:t>
      </w:r>
      <w:r w:rsidRPr="00D339F4">
        <w:rPr>
          <w:lang w:bidi="te-IN"/>
        </w:rPr>
        <w:t xml:space="preserve"> and </w:t>
      </w:r>
      <w:r w:rsidRPr="00D339F4">
        <w:rPr>
          <w:i/>
          <w:iCs/>
          <w:color w:val="000000"/>
        </w:rPr>
        <w:t>S</w:t>
      </w:r>
      <w:r w:rsidRPr="00D339F4">
        <w:rPr>
          <w:i/>
          <w:iCs/>
          <w:color w:val="000000"/>
          <w:vertAlign w:val="subscript"/>
        </w:rPr>
        <w:t>W</w:t>
      </w:r>
      <w:r w:rsidRPr="00D339F4">
        <w:rPr>
          <w:iCs/>
          <w:color w:val="000000"/>
        </w:rPr>
        <w:t xml:space="preserve"> are calculated using eqs. </w:t>
      </w:r>
      <w:r w:rsidR="00B615A2" w:rsidRPr="00B615A2">
        <w:rPr>
          <w:iCs/>
          <w:color w:val="000000"/>
        </w:rPr>
        <w:t>(14)</w:t>
      </w:r>
      <w:r w:rsidRPr="00D339F4">
        <w:rPr>
          <w:iCs/>
          <w:color w:val="000000"/>
        </w:rPr>
        <w:t xml:space="preserve">, </w:t>
      </w:r>
      <w:r w:rsidR="00B615A2" w:rsidRPr="00B615A2">
        <w:rPr>
          <w:iCs/>
          <w:color w:val="000000"/>
        </w:rPr>
        <w:t>(21)</w:t>
      </w:r>
      <w:r w:rsidRPr="00D339F4">
        <w:rPr>
          <w:iCs/>
          <w:color w:val="000000"/>
        </w:rPr>
        <w:t xml:space="preserve">, and </w:t>
      </w:r>
      <w:r w:rsidR="00B615A2" w:rsidRPr="00B615A2">
        <w:rPr>
          <w:iCs/>
          <w:color w:val="000000"/>
        </w:rPr>
        <w:t>(2)</w:t>
      </w:r>
      <w:r w:rsidRPr="00D339F4">
        <w:rPr>
          <w:iCs/>
          <w:color w:val="000000"/>
        </w:rPr>
        <w:t>.</w:t>
      </w:r>
    </w:p>
    <w:p w:rsidR="004A14A3" w:rsidRPr="00D146DB" w:rsidRDefault="00D339F4" w:rsidP="00B832E2">
      <w:pPr>
        <w:pStyle w:val="NormalNew"/>
        <w:rPr>
          <w:iCs/>
          <w:color w:val="000000"/>
        </w:rPr>
      </w:pPr>
      <w:r w:rsidRPr="00D339F4">
        <w:rPr>
          <w:lang w:bidi="te-IN"/>
        </w:rPr>
        <w:t xml:space="preserve">The distributed parameter model was applied to an idealized synthetic watershed with the storage distribution shown in </w:t>
      </w:r>
      <w:r w:rsidR="00B615A2" w:rsidRPr="00B615A2">
        <w:t>Table 2</w:t>
      </w:r>
      <w:r w:rsidRPr="00B832E2">
        <w:t>,</w:t>
      </w:r>
      <w:r w:rsidRPr="00D339F4">
        <w:rPr>
          <w:lang w:bidi="te-IN"/>
        </w:rPr>
        <w:t xml:space="preserve"> for the cases of</w:t>
      </w:r>
      <w:r w:rsidRPr="00D339F4">
        <w:rPr>
          <w:i/>
          <w:iCs/>
        </w:rPr>
        <w:t xml:space="preserve"> λ</w:t>
      </w:r>
      <w:r w:rsidRPr="00D339F4">
        <w:rPr>
          <w:i/>
          <w:iCs/>
          <w:vertAlign w:val="subscript"/>
        </w:rPr>
        <w:t>i</w:t>
      </w:r>
      <w:r w:rsidRPr="00D339F4">
        <w:rPr>
          <w:lang w:bidi="te-IN"/>
        </w:rPr>
        <w:t xml:space="preserve"> = 0, 0.2, and 0.5. A range of values of </w:t>
      </w:r>
      <w:r w:rsidRPr="00D339F4">
        <w:rPr>
          <w:i/>
          <w:lang w:bidi="te-IN"/>
        </w:rPr>
        <w:t>P</w:t>
      </w:r>
      <w:r w:rsidRPr="00D339F4">
        <w:rPr>
          <w:lang w:bidi="te-IN"/>
        </w:rPr>
        <w:t xml:space="preserve"> were synthetically generated such that they vary lognormally from 0.1 mm to 200 mm with a median of 8 mm. For each rainfall event, </w:t>
      </w:r>
      <w:r w:rsidRPr="00D339F4">
        <w:rPr>
          <w:i/>
          <w:iCs/>
          <w:color w:val="000000"/>
        </w:rPr>
        <w:t>I</w:t>
      </w:r>
      <w:r w:rsidRPr="00D339F4">
        <w:rPr>
          <w:i/>
          <w:iCs/>
          <w:color w:val="000000"/>
          <w:vertAlign w:val="subscript"/>
        </w:rPr>
        <w:t>aW</w:t>
      </w:r>
      <w:r w:rsidRPr="00D339F4">
        <w:rPr>
          <w:lang w:bidi="te-IN"/>
        </w:rPr>
        <w:t xml:space="preserve">, </w:t>
      </w:r>
      <w:r w:rsidRPr="00D339F4">
        <w:rPr>
          <w:i/>
          <w:iCs/>
          <w:color w:val="000000"/>
        </w:rPr>
        <w:t>Q</w:t>
      </w:r>
      <w:r w:rsidRPr="00D339F4">
        <w:rPr>
          <w:i/>
          <w:iCs/>
          <w:color w:val="000000"/>
          <w:vertAlign w:val="subscript"/>
        </w:rPr>
        <w:t>W</w:t>
      </w:r>
      <w:r w:rsidRPr="00D339F4">
        <w:rPr>
          <w:lang w:bidi="te-IN"/>
        </w:rPr>
        <w:t xml:space="preserve">, </w:t>
      </w:r>
      <w:r w:rsidRPr="00D339F4">
        <w:rPr>
          <w:i/>
          <w:iCs/>
          <w:color w:val="000000"/>
        </w:rPr>
        <w:t>F</w:t>
      </w:r>
      <w:r w:rsidRPr="00D339F4">
        <w:rPr>
          <w:i/>
          <w:iCs/>
          <w:color w:val="000000"/>
          <w:vertAlign w:val="subscript"/>
        </w:rPr>
        <w:t>W</w:t>
      </w:r>
      <w:r w:rsidRPr="00D339F4">
        <w:rPr>
          <w:lang w:bidi="te-IN"/>
        </w:rPr>
        <w:t xml:space="preserve"> and </w:t>
      </w:r>
      <w:r w:rsidRPr="00D339F4">
        <w:rPr>
          <w:i/>
          <w:iCs/>
          <w:color w:val="000000"/>
        </w:rPr>
        <w:t>S</w:t>
      </w:r>
      <w:r w:rsidRPr="00D339F4">
        <w:rPr>
          <w:i/>
          <w:iCs/>
          <w:color w:val="000000"/>
          <w:vertAlign w:val="subscript"/>
        </w:rPr>
        <w:t>W</w:t>
      </w:r>
      <w:r w:rsidRPr="00D339F4">
        <w:rPr>
          <w:iCs/>
          <w:color w:val="000000"/>
        </w:rPr>
        <w:t xml:space="preserve"> were calculated, and used in the evaluation of the lumped parameter models.</w:t>
      </w:r>
    </w:p>
    <w:p w:rsidR="00D339F4" w:rsidRPr="00D339F4" w:rsidRDefault="00D339F4" w:rsidP="004A14A3">
      <w:pPr>
        <w:pStyle w:val="NormalNew"/>
        <w:rPr>
          <w:lang w:bidi="te-IN"/>
        </w:rPr>
      </w:pPr>
      <w:r w:rsidRPr="00D339F4">
        <w:rPr>
          <w:lang w:bidi="te-IN"/>
        </w:rPr>
        <w:t>The reason for using a synthetic watershed here is that the heterogeneity can be precisely defined and used to evaluate the predictions of heterogeneity by the lumped parameter models. In real watersheds</w:t>
      </w:r>
      <w:r w:rsidR="00B641F1">
        <w:rPr>
          <w:lang w:bidi="te-IN"/>
        </w:rPr>
        <w:t>,</w:t>
      </w:r>
      <w:r w:rsidRPr="00D339F4">
        <w:rPr>
          <w:lang w:bidi="te-IN"/>
        </w:rPr>
        <w:t xml:space="preserve"> the heterogeneity has to be determined by calibration, and there can be non-uniqueness when multiple HRUs are present. Application of these modified models to data from real watersheds is discussed </w:t>
      </w:r>
      <w:r w:rsidR="00514877">
        <w:rPr>
          <w:lang w:bidi="te-IN"/>
        </w:rPr>
        <w:t>by</w:t>
      </w:r>
      <w:r w:rsidRPr="00D339F4">
        <w:rPr>
          <w:lang w:bidi="te-IN"/>
        </w:rPr>
        <w:t xml:space="preserve"> </w:t>
      </w:r>
      <w:r w:rsidR="003A0A8A" w:rsidRPr="003A0A8A">
        <w:rPr>
          <w:lang w:bidi="te-IN"/>
        </w:rPr>
        <w:t>Santikari</w:t>
      </w:r>
      <w:r w:rsidR="003A0A8A">
        <w:rPr>
          <w:lang w:bidi="te-IN"/>
        </w:rPr>
        <w:t xml:space="preserve"> (2017) and</w:t>
      </w:r>
      <w:r w:rsidR="003A0A8A" w:rsidRPr="003A0A8A">
        <w:rPr>
          <w:lang w:bidi="te-IN"/>
        </w:rPr>
        <w:t xml:space="preserve"> </w:t>
      </w:r>
      <w:r w:rsidR="00514877">
        <w:rPr>
          <w:lang w:bidi="te-IN"/>
        </w:rPr>
        <w:t>Santikari and Murdoch</w:t>
      </w:r>
      <w:r w:rsidRPr="00D339F4">
        <w:rPr>
          <w:lang w:bidi="te-IN"/>
        </w:rPr>
        <w:t xml:space="preserve"> </w:t>
      </w:r>
      <w:r w:rsidR="00514877">
        <w:rPr>
          <w:lang w:bidi="te-IN"/>
        </w:rPr>
        <w:t>(</w:t>
      </w:r>
      <w:r w:rsidR="004A14A3">
        <w:rPr>
          <w:lang w:bidi="te-IN"/>
        </w:rPr>
        <w:t>2018</w:t>
      </w:r>
      <w:r w:rsidRPr="00D339F4">
        <w:rPr>
          <w:lang w:bidi="te-IN"/>
        </w:rPr>
        <w:t>).</w:t>
      </w:r>
    </w:p>
    <w:p w:rsidR="00D339F4" w:rsidRPr="00D339F4" w:rsidRDefault="00D339F4" w:rsidP="00D339F4">
      <w:pPr>
        <w:pStyle w:val="Heading3"/>
        <w:rPr>
          <w:lang w:bidi="te-IN"/>
        </w:rPr>
      </w:pPr>
      <w:bookmarkStart w:id="82" w:name="_Toc479817870"/>
      <w:bookmarkStart w:id="83" w:name="_Toc481658246"/>
      <w:r w:rsidRPr="00D339F4">
        <w:rPr>
          <w:lang w:bidi="te-IN"/>
        </w:rPr>
        <w:t>5.2. Model Evaluation Criteria</w:t>
      </w:r>
      <w:bookmarkEnd w:id="82"/>
      <w:bookmarkEnd w:id="83"/>
    </w:p>
    <w:p w:rsidR="004A14A3" w:rsidRPr="00D339F4" w:rsidRDefault="00D339F4" w:rsidP="004A14A3">
      <w:pPr>
        <w:pStyle w:val="NormalNew"/>
      </w:pPr>
      <w:r w:rsidRPr="00D339F4">
        <w:rPr>
          <w:lang w:bidi="te-IN"/>
        </w:rPr>
        <w:t>Each lumped parameter model was calibrated by minimizing the sum of the squared residuals between its predicted runoff (</w:t>
      </w:r>
      <w:r w:rsidRPr="00D339F4">
        <w:rPr>
          <w:i/>
          <w:iCs/>
          <w:color w:val="000000"/>
        </w:rPr>
        <w:t>Q</w:t>
      </w:r>
      <w:r w:rsidRPr="00D339F4">
        <w:rPr>
          <w:i/>
          <w:iCs/>
          <w:color w:val="000000"/>
          <w:vertAlign w:val="subscript"/>
        </w:rPr>
        <w:t>W</w:t>
      </w:r>
      <w:r w:rsidRPr="00D339F4">
        <w:rPr>
          <w:lang w:bidi="te-IN"/>
        </w:rPr>
        <w:t>) and the baseline from the distributed parameter model. All the models were evaluated using the Nash-Sutcliffe efficiency parameter (NSE), the standard error of estimate (SEE), and the percent bias (PB) (McCuen, 2003; Moriasi et al., 2007).</w:t>
      </w:r>
      <w:r w:rsidRPr="00D339F4">
        <w:t xml:space="preserve"> NSE can vary from -∞ to 1. The calculations and observations are exactly equal when NSE = 1. The calculations are only as good as the average observation when NSE = 0. SEE is the root-mean-square residual adjusted to the degrees of freedom </w:t>
      </w:r>
      <w:r w:rsidR="004A14A3">
        <w:t>(</w:t>
      </w:r>
      <w:r w:rsidR="003A0A8A" w:rsidRPr="003A0A8A">
        <w:t>Santikari</w:t>
      </w:r>
      <w:r w:rsidR="003A0A8A">
        <w:t>, 2017</w:t>
      </w:r>
      <w:r w:rsidRPr="00D339F4">
        <w:t>). A smaller SEE indicates a better performance, and its ideal value is zero. PB indicates whether the model is over (PB &lt; 0) or under-predicting (PB &gt; 0) on average. The optimal value for PB is zero.</w:t>
      </w:r>
    </w:p>
    <w:p w:rsidR="004A14A3" w:rsidRPr="00D339F4" w:rsidRDefault="00D339F4" w:rsidP="004A14A3">
      <w:pPr>
        <w:pStyle w:val="NormalNew"/>
      </w:pPr>
      <w:r w:rsidRPr="00D339F4">
        <w:t>NSE values were calculated for the model predictions of runoff (NSE</w:t>
      </w:r>
      <w:r w:rsidRPr="00D339F4">
        <w:rPr>
          <w:i/>
          <w:vertAlign w:val="subscript"/>
        </w:rPr>
        <w:t>Q</w:t>
      </w:r>
      <w:r w:rsidRPr="00D339F4">
        <w:t>), initial abstraction (NSE</w:t>
      </w:r>
      <w:r w:rsidRPr="00D339F4">
        <w:rPr>
          <w:i/>
          <w:vertAlign w:val="subscript"/>
        </w:rPr>
        <w:t>Ia</w:t>
      </w:r>
      <w:r w:rsidRPr="00D339F4">
        <w:t>), potential maximum retention (NSE</w:t>
      </w:r>
      <w:r w:rsidRPr="00D339F4">
        <w:rPr>
          <w:i/>
          <w:vertAlign w:val="subscript"/>
        </w:rPr>
        <w:t>S</w:t>
      </w:r>
      <w:r w:rsidRPr="00D339F4">
        <w:t xml:space="preserve">), and runoff from events with </w:t>
      </w:r>
      <w:r w:rsidRPr="00D339F4">
        <w:rPr>
          <w:i/>
        </w:rPr>
        <w:t>P</w:t>
      </w:r>
      <w:r w:rsidRPr="00D339F4">
        <w:t xml:space="preserve"> less than the median value (NSE</w:t>
      </w:r>
      <w:r w:rsidRPr="00D339F4">
        <w:rPr>
          <w:i/>
          <w:vertAlign w:val="subscript"/>
        </w:rPr>
        <w:t>Q</w:t>
      </w:r>
      <w:r w:rsidRPr="00D339F4">
        <w:rPr>
          <w:vertAlign w:val="subscript"/>
        </w:rPr>
        <w:t>50</w:t>
      </w:r>
      <w:r w:rsidRPr="00D339F4">
        <w:t>).</w:t>
      </w:r>
      <w:r w:rsidR="00EA210F">
        <w:t xml:space="preserve"> Relative NSE,</w:t>
      </w:r>
      <w:r w:rsidR="008E474C">
        <w:t xml:space="preserve"> r</w:t>
      </w:r>
      <w:r w:rsidR="008E474C" w:rsidRPr="00D339F4">
        <w:t>NSE</w:t>
      </w:r>
      <w:r w:rsidRPr="00D339F4">
        <w:t xml:space="preserve"> </w:t>
      </w:r>
      <w:r w:rsidR="00FD13F3">
        <w:t>(</w:t>
      </w:r>
      <w:r w:rsidR="00FD13F3" w:rsidRPr="00FD13F3">
        <w:t>Krause et al., 2005</w:t>
      </w:r>
      <w:r w:rsidR="00FD13F3">
        <w:t>)</w:t>
      </w:r>
      <w:r w:rsidR="00EA210F">
        <w:t>,</w:t>
      </w:r>
      <w:r w:rsidR="008E474C">
        <w:t xml:space="preserve"> </w:t>
      </w:r>
      <w:r w:rsidR="00EA210F">
        <w:t>was</w:t>
      </w:r>
      <w:r w:rsidR="008E474C">
        <w:t xml:space="preserve"> used instead of </w:t>
      </w:r>
      <w:r w:rsidR="008E474C" w:rsidRPr="00D339F4">
        <w:t xml:space="preserve">NSE </w:t>
      </w:r>
      <w:r w:rsidR="008E474C">
        <w:t xml:space="preserve">when the latter </w:t>
      </w:r>
      <w:r w:rsidR="008E474C" w:rsidRPr="00D339F4">
        <w:t>was strongly influenced</w:t>
      </w:r>
      <w:r w:rsidR="008E474C">
        <w:t xml:space="preserve"> by</w:t>
      </w:r>
      <w:r w:rsidR="008E474C" w:rsidRPr="00D339F4">
        <w:t xml:space="preserve"> larger events</w:t>
      </w:r>
      <w:r w:rsidR="008E474C">
        <w:t>.</w:t>
      </w:r>
      <w:r w:rsidR="008E474C" w:rsidRPr="00D339F4">
        <w:t xml:space="preserve"> </w:t>
      </w:r>
      <w:r w:rsidRPr="00D339F4">
        <w:t>PB values were calculated for runoff from all the events (PB</w:t>
      </w:r>
      <w:r w:rsidRPr="00D339F4">
        <w:rPr>
          <w:i/>
          <w:vertAlign w:val="subscript"/>
        </w:rPr>
        <w:t>Q</w:t>
      </w:r>
      <w:r w:rsidRPr="00D339F4">
        <w:t xml:space="preserve">) and runoff from events with </w:t>
      </w:r>
      <w:r w:rsidRPr="00D339F4">
        <w:rPr>
          <w:i/>
        </w:rPr>
        <w:t>P</w:t>
      </w:r>
      <w:r w:rsidRPr="00D339F4">
        <w:t xml:space="preserve"> less than the median value (PB</w:t>
      </w:r>
      <w:r w:rsidRPr="00D339F4">
        <w:rPr>
          <w:i/>
          <w:vertAlign w:val="subscript"/>
        </w:rPr>
        <w:t>Q</w:t>
      </w:r>
      <w:r w:rsidRPr="00D339F4">
        <w:rPr>
          <w:vertAlign w:val="subscript"/>
        </w:rPr>
        <w:t>50</w:t>
      </w:r>
      <w:r w:rsidRPr="00D339F4">
        <w:t>). SEE was calculated for runoff from all the events (SEE</w:t>
      </w:r>
      <w:r w:rsidRPr="00D339F4">
        <w:rPr>
          <w:i/>
          <w:vertAlign w:val="subscript"/>
        </w:rPr>
        <w:t>Q</w:t>
      </w:r>
      <w:r w:rsidRPr="00D339F4">
        <w:t>).</w:t>
      </w:r>
    </w:p>
    <w:p w:rsidR="00D339F4" w:rsidRPr="00D339F4" w:rsidRDefault="00D339F4" w:rsidP="004A14A3">
      <w:pPr>
        <w:pStyle w:val="NormalNew"/>
      </w:pPr>
      <w:r w:rsidRPr="00D339F4">
        <w:lastRenderedPageBreak/>
        <w:t>NSE</w:t>
      </w:r>
      <w:r w:rsidRPr="00D339F4">
        <w:rPr>
          <w:i/>
          <w:vertAlign w:val="subscript"/>
        </w:rPr>
        <w:t>Ia</w:t>
      </w:r>
      <w:r w:rsidRPr="00D339F4">
        <w:t xml:space="preserve"> and NSE</w:t>
      </w:r>
      <w:r w:rsidRPr="00D339F4">
        <w:rPr>
          <w:i/>
          <w:vertAlign w:val="subscript"/>
        </w:rPr>
        <w:t>S</w:t>
      </w:r>
      <w:r w:rsidRPr="00D339F4">
        <w:t xml:space="preserve"> indicate how accurately a lumped parameter model predicts the watershed heterogeneity. NSE</w:t>
      </w:r>
      <w:r w:rsidRPr="00D339F4">
        <w:rPr>
          <w:i/>
          <w:vertAlign w:val="subscript"/>
        </w:rPr>
        <w:t>Q</w:t>
      </w:r>
      <w:r w:rsidRPr="00D339F4">
        <w:t>, SEE</w:t>
      </w:r>
      <w:r w:rsidRPr="00D339F4">
        <w:rPr>
          <w:i/>
          <w:vertAlign w:val="subscript"/>
        </w:rPr>
        <w:t>Q</w:t>
      </w:r>
      <w:r w:rsidRPr="00D339F4">
        <w:t>, and PB</w:t>
      </w:r>
      <w:r w:rsidRPr="00D339F4">
        <w:rPr>
          <w:i/>
          <w:vertAlign w:val="subscript"/>
        </w:rPr>
        <w:t>Q</w:t>
      </w:r>
      <w:r w:rsidRPr="00D339F4">
        <w:t xml:space="preserve"> reflect the overall accuracy in a model prediction of runoff from all the events, whereas NSE</w:t>
      </w:r>
      <w:r w:rsidRPr="00D339F4">
        <w:rPr>
          <w:i/>
          <w:vertAlign w:val="subscript"/>
        </w:rPr>
        <w:t>Q</w:t>
      </w:r>
      <w:r w:rsidRPr="00D339F4">
        <w:rPr>
          <w:vertAlign w:val="subscript"/>
        </w:rPr>
        <w:t>50</w:t>
      </w:r>
      <w:r w:rsidRPr="00D339F4">
        <w:t xml:space="preserve"> and PB</w:t>
      </w:r>
      <w:r w:rsidRPr="00D339F4">
        <w:rPr>
          <w:i/>
          <w:vertAlign w:val="subscript"/>
        </w:rPr>
        <w:t>Q</w:t>
      </w:r>
      <w:r w:rsidRPr="00D339F4">
        <w:rPr>
          <w:vertAlign w:val="subscript"/>
        </w:rPr>
        <w:t>50</w:t>
      </w:r>
      <w:r w:rsidRPr="00D339F4">
        <w:t xml:space="preserve"> reflect the accuracy in predicting runoff from smaller events (</w:t>
      </w:r>
      <w:r w:rsidRPr="00D339F4">
        <w:rPr>
          <w:i/>
        </w:rPr>
        <w:t>P</w:t>
      </w:r>
      <w:r w:rsidRPr="00D339F4">
        <w:t xml:space="preserve"> &lt; 8 mm). Conventional models tend to under-predict runoffs from smaller events because of the usage of constant</w:t>
      </w:r>
      <w:r w:rsidRPr="00D339F4">
        <w:rPr>
          <w:i/>
          <w:iCs/>
        </w:rPr>
        <w:t xml:space="preserve"> I</w:t>
      </w:r>
      <w:r w:rsidRPr="00D339F4">
        <w:rPr>
          <w:i/>
          <w:iCs/>
          <w:vertAlign w:val="subscript"/>
        </w:rPr>
        <w:t>a</w:t>
      </w:r>
      <w:r w:rsidRPr="00D339F4">
        <w:t xml:space="preserve"> and </w:t>
      </w:r>
      <w:r w:rsidRPr="00D339F4">
        <w:rPr>
          <w:i/>
        </w:rPr>
        <w:t>S</w:t>
      </w:r>
      <w:r w:rsidRPr="00D339F4">
        <w:t>. They often falsely predict zero-runoffs because the runoff condition (</w:t>
      </w:r>
      <w:r w:rsidRPr="00D339F4">
        <w:rPr>
          <w:i/>
        </w:rPr>
        <w:t>P</w:t>
      </w:r>
      <w:r w:rsidRPr="00D339F4">
        <w:t xml:space="preserve"> &gt; </w:t>
      </w:r>
      <w:r w:rsidRPr="00D339F4">
        <w:rPr>
          <w:i/>
          <w:iCs/>
        </w:rPr>
        <w:t>I</w:t>
      </w:r>
      <w:r w:rsidRPr="00D339F4">
        <w:rPr>
          <w:i/>
          <w:iCs/>
          <w:vertAlign w:val="subscript"/>
        </w:rPr>
        <w:t>a</w:t>
      </w:r>
      <w:r w:rsidRPr="00D339F4">
        <w:t>) cannot be overcome in smaller events. NSE</w:t>
      </w:r>
      <w:r w:rsidRPr="00D339F4">
        <w:rPr>
          <w:i/>
          <w:vertAlign w:val="subscript"/>
        </w:rPr>
        <w:t>Q</w:t>
      </w:r>
      <w:r w:rsidRPr="00D339F4">
        <w:rPr>
          <w:vertAlign w:val="subscript"/>
        </w:rPr>
        <w:t>50</w:t>
      </w:r>
      <w:r w:rsidRPr="00D339F4">
        <w:t xml:space="preserve"> and PB</w:t>
      </w:r>
      <w:r w:rsidRPr="00D339F4">
        <w:rPr>
          <w:i/>
          <w:vertAlign w:val="subscript"/>
        </w:rPr>
        <w:t>Q</w:t>
      </w:r>
      <w:r w:rsidRPr="00D339F4">
        <w:rPr>
          <w:vertAlign w:val="subscript"/>
        </w:rPr>
        <w:t>50</w:t>
      </w:r>
      <w:r w:rsidRPr="00D339F4">
        <w:t xml:space="preserve"> are used to expose this shortcoming.</w:t>
      </w:r>
    </w:p>
    <w:p w:rsidR="00D339F4" w:rsidRPr="00D339F4" w:rsidRDefault="00D339F4" w:rsidP="00D339F4">
      <w:pPr>
        <w:pStyle w:val="Heading2"/>
      </w:pPr>
      <w:bookmarkStart w:id="84" w:name="_Toc479817871"/>
      <w:bookmarkStart w:id="85" w:name="_Toc481658247"/>
      <w:r w:rsidRPr="00D339F4">
        <w:t>6. Results and Discussion</w:t>
      </w:r>
      <w:bookmarkEnd w:id="84"/>
      <w:bookmarkEnd w:id="85"/>
    </w:p>
    <w:p w:rsidR="004A14A3" w:rsidRPr="00D339F4" w:rsidRDefault="00D339F4" w:rsidP="00B832E2">
      <w:pPr>
        <w:pStyle w:val="NormalNew"/>
      </w:pPr>
      <w:r w:rsidRPr="00D339F4">
        <w:t>The results show that using variable initial abstraction improved the accuracy of model predictions of runoff and heterogeneity (</w:t>
      </w:r>
      <w:r w:rsidR="00B615A2" w:rsidRPr="00B615A2">
        <w:t>Table 3</w:t>
      </w:r>
      <w:r w:rsidRPr="00D339F4">
        <w:t xml:space="preserve">). Based on their overall performance, the models can be arranged from the best to the worst as VIMλ &gt; VIMS &gt; CMλ &gt; CM0.2. Results for the case of </w:t>
      </w:r>
      <w:r w:rsidRPr="00D339F4">
        <w:rPr>
          <w:i/>
        </w:rPr>
        <w:t>λ</w:t>
      </w:r>
      <w:r w:rsidRPr="00D339F4">
        <w:rPr>
          <w:i/>
          <w:vertAlign w:val="subscript"/>
        </w:rPr>
        <w:t>i</w:t>
      </w:r>
      <w:r w:rsidRPr="00D339F4">
        <w:rPr>
          <w:lang w:bidi="te-IN"/>
        </w:rPr>
        <w:t xml:space="preserve"> = 0</w:t>
      </w:r>
      <w:r w:rsidRPr="00D339F4">
        <w:t xml:space="preserve"> are not presented in </w:t>
      </w:r>
      <w:r w:rsidR="00B615A2" w:rsidRPr="00B615A2">
        <w:t>Table 3</w:t>
      </w:r>
      <w:r w:rsidRPr="00B832E2">
        <w:t xml:space="preserve"> </w:t>
      </w:r>
      <w:r w:rsidRPr="00D339F4">
        <w:t>because VIMλ, VIMS, and CMλ performed equally well while CM0.2 was the worst (i.e. VIMλ = VIMS = CMλ &gt; CM0.2).</w:t>
      </w:r>
    </w:p>
    <w:p w:rsidR="00D339F4" w:rsidRPr="00D339F4" w:rsidRDefault="00D339F4" w:rsidP="00B832E2">
      <w:pPr>
        <w:pStyle w:val="NormalNew"/>
      </w:pPr>
      <w:r w:rsidRPr="00D339F4">
        <w:t>Variable</w:t>
      </w:r>
      <w:r w:rsidRPr="00D339F4">
        <w:rPr>
          <w:i/>
        </w:rPr>
        <w:t xml:space="preserve"> I</w:t>
      </w:r>
      <w:r w:rsidRPr="00D339F4">
        <w:rPr>
          <w:i/>
          <w:vertAlign w:val="subscript"/>
        </w:rPr>
        <w:t>a</w:t>
      </w:r>
      <w:r w:rsidRPr="00D339F4">
        <w:t xml:space="preserve"> models predicted runoff better than the conventional models. It was not possible to determine relative model performance using NSE</w:t>
      </w:r>
      <w:r w:rsidRPr="00D339F4">
        <w:rPr>
          <w:i/>
          <w:vertAlign w:val="subscript"/>
        </w:rPr>
        <w:t>Q</w:t>
      </w:r>
      <w:r w:rsidRPr="00D339F4">
        <w:t xml:space="preserve"> because it was 1.0 for all the models. This was because NSE</w:t>
      </w:r>
      <w:r w:rsidRPr="00D339F4">
        <w:rPr>
          <w:i/>
          <w:vertAlign w:val="subscript"/>
        </w:rPr>
        <w:t>Q</w:t>
      </w:r>
      <w:r w:rsidRPr="00D339F4">
        <w:t xml:space="preserve"> was strongly influenced by a few larger events</w:t>
      </w:r>
      <w:r w:rsidR="005F7867">
        <w:t>, and</w:t>
      </w:r>
      <w:r w:rsidRPr="00D339F4">
        <w:t xml:space="preserve"> </w:t>
      </w:r>
      <w:r w:rsidR="005F7867">
        <w:t>a</w:t>
      </w:r>
      <w:r w:rsidRPr="00D339F4">
        <w:t xml:space="preserve"> good fit in these events was sufficient to render NSE</w:t>
      </w:r>
      <w:r w:rsidRPr="00D339F4">
        <w:rPr>
          <w:i/>
          <w:vertAlign w:val="subscript"/>
        </w:rPr>
        <w:t>Q</w:t>
      </w:r>
      <w:r w:rsidRPr="00D339F4">
        <w:t xml:space="preserve"> = 1.0</w:t>
      </w:r>
      <w:r w:rsidR="005F7867">
        <w:t>.T</w:t>
      </w:r>
      <w:r w:rsidRPr="00D339F4">
        <w:t xml:space="preserve">herefore </w:t>
      </w:r>
      <w:r w:rsidR="005F7867">
        <w:t xml:space="preserve"> r</w:t>
      </w:r>
      <w:r w:rsidR="005F7867" w:rsidRPr="00D339F4">
        <w:t>NSE</w:t>
      </w:r>
      <w:r w:rsidR="005F7867" w:rsidRPr="00D339F4">
        <w:rPr>
          <w:i/>
          <w:vertAlign w:val="subscript"/>
        </w:rPr>
        <w:t>Q</w:t>
      </w:r>
      <w:r w:rsidR="005F7867" w:rsidRPr="00D339F4">
        <w:t xml:space="preserve"> </w:t>
      </w:r>
      <w:r w:rsidR="005F7867" w:rsidRPr="005F7867">
        <w:t xml:space="preserve">(Krause et al., 2005) </w:t>
      </w:r>
      <w:r w:rsidR="005F7867">
        <w:t>was calculated instead, and</w:t>
      </w:r>
      <w:r w:rsidRPr="00D339F4">
        <w:t xml:space="preserve"> listed in </w:t>
      </w:r>
      <w:r w:rsidR="00B615A2" w:rsidRPr="00B615A2">
        <w:t>Table 3</w:t>
      </w:r>
      <w:r w:rsidRPr="00D339F4">
        <w:t xml:space="preserve">. </w:t>
      </w:r>
      <w:r w:rsidR="005F7867">
        <w:t>Larger events had greater influence on r</w:t>
      </w:r>
      <w:r w:rsidR="005F7867" w:rsidRPr="00D339F4">
        <w:t>NSE</w:t>
      </w:r>
      <w:r w:rsidR="005F7867" w:rsidRPr="00D339F4">
        <w:rPr>
          <w:i/>
          <w:vertAlign w:val="subscript"/>
        </w:rPr>
        <w:t>Q</w:t>
      </w:r>
      <w:r w:rsidR="005F7867">
        <w:t xml:space="preserve"> as well, but the values varied slightly between the models (</w:t>
      </w:r>
      <w:r w:rsidR="005F7867" w:rsidRPr="00B615A2">
        <w:t>Table 3</w:t>
      </w:r>
      <w:r w:rsidR="005F7867">
        <w:t>). r</w:t>
      </w:r>
      <w:r w:rsidR="005F7867" w:rsidRPr="00D339F4">
        <w:t>NSE</w:t>
      </w:r>
      <w:r w:rsidR="005F7867" w:rsidRPr="00D339F4">
        <w:rPr>
          <w:i/>
          <w:vertAlign w:val="subscript"/>
        </w:rPr>
        <w:t>Q</w:t>
      </w:r>
      <w:r w:rsidR="005F7867" w:rsidRPr="00D339F4">
        <w:t xml:space="preserve"> </w:t>
      </w:r>
      <w:r w:rsidR="005F7867">
        <w:t>in</w:t>
      </w:r>
      <w:r w:rsidR="005F7867" w:rsidRPr="00D339F4">
        <w:t>creased down the table</w:t>
      </w:r>
      <w:r w:rsidR="005F7867" w:rsidRPr="00D339F4" w:rsidDel="005F7867">
        <w:t xml:space="preserve"> </w:t>
      </w:r>
      <w:r w:rsidR="005F7867">
        <w:t xml:space="preserve">whereas </w:t>
      </w:r>
      <w:r w:rsidRPr="00D339F4">
        <w:t>SEE</w:t>
      </w:r>
      <w:r w:rsidRPr="00D339F4">
        <w:rPr>
          <w:i/>
          <w:vertAlign w:val="subscript"/>
        </w:rPr>
        <w:t>Q</w:t>
      </w:r>
      <w:r w:rsidRPr="00D339F4">
        <w:t xml:space="preserve"> decreased, </w:t>
      </w:r>
      <w:r w:rsidR="005F7867">
        <w:t xml:space="preserve">both </w:t>
      </w:r>
      <w:r w:rsidRPr="00D339F4">
        <w:t>indicating an improvement in</w:t>
      </w:r>
      <w:r w:rsidR="005F7867">
        <w:t xml:space="preserve"> model</w:t>
      </w:r>
      <w:r w:rsidRPr="00D339F4">
        <w:t xml:space="preserve"> performance. PB</w:t>
      </w:r>
      <w:r w:rsidRPr="00D339F4">
        <w:rPr>
          <w:i/>
          <w:vertAlign w:val="subscript"/>
        </w:rPr>
        <w:t>Q</w:t>
      </w:r>
      <w:r w:rsidRPr="00D339F4">
        <w:t xml:space="preserve"> was positive for all the models, indicating that they all under-predicted runoff. The extent of under-prediction, however, was smaller in variable</w:t>
      </w:r>
      <w:r w:rsidRPr="00D339F4">
        <w:rPr>
          <w:i/>
        </w:rPr>
        <w:t xml:space="preserve"> I</w:t>
      </w:r>
      <w:r w:rsidRPr="00D339F4">
        <w:rPr>
          <w:i/>
          <w:vertAlign w:val="subscript"/>
        </w:rPr>
        <w:t>a</w:t>
      </w:r>
      <w:r w:rsidRPr="00D339F4">
        <w:t xml:space="preserve"> models than the conventional models.</w:t>
      </w:r>
    </w:p>
    <w:p w:rsidR="004A14A3" w:rsidRPr="00D339F4" w:rsidRDefault="00D339F4" w:rsidP="00B832E2">
      <w:pPr>
        <w:pStyle w:val="NormalNew"/>
      </w:pPr>
      <w:r w:rsidRPr="00D339F4">
        <w:t>Variable</w:t>
      </w:r>
      <w:r w:rsidRPr="00D339F4">
        <w:rPr>
          <w:i/>
        </w:rPr>
        <w:t xml:space="preserve"> I</w:t>
      </w:r>
      <w:r w:rsidRPr="00D339F4">
        <w:rPr>
          <w:i/>
          <w:vertAlign w:val="subscript"/>
        </w:rPr>
        <w:t>a</w:t>
      </w:r>
      <w:r w:rsidRPr="00D339F4">
        <w:t xml:space="preserve"> models gave a better estimate of watershed heterogeneity than the conventional models as indicated by the higher values of NSE</w:t>
      </w:r>
      <w:r w:rsidRPr="00D339F4">
        <w:rPr>
          <w:i/>
          <w:vertAlign w:val="subscript"/>
        </w:rPr>
        <w:t>Ia</w:t>
      </w:r>
      <w:r w:rsidRPr="00D339F4">
        <w:t xml:space="preserve"> and NSE</w:t>
      </w:r>
      <w:r w:rsidRPr="00D339F4">
        <w:rPr>
          <w:i/>
          <w:vertAlign w:val="subscript"/>
        </w:rPr>
        <w:t>S</w:t>
      </w:r>
      <w:r w:rsidRPr="00D339F4">
        <w:t xml:space="preserve"> (</w:t>
      </w:r>
      <w:r w:rsidR="00B615A2" w:rsidRPr="00B615A2">
        <w:t>Table 3</w:t>
      </w:r>
      <w:r w:rsidRPr="00D339F4">
        <w:t>). NSE</w:t>
      </w:r>
      <w:r w:rsidRPr="00D339F4">
        <w:rPr>
          <w:i/>
          <w:vertAlign w:val="subscript"/>
        </w:rPr>
        <w:t>Ia</w:t>
      </w:r>
      <w:r w:rsidRPr="00D339F4">
        <w:t xml:space="preserve"> was zero or negative in the conventional models, whereas it varied from 0.2 to 0.7 in the variable</w:t>
      </w:r>
      <w:r w:rsidRPr="00D339F4">
        <w:rPr>
          <w:i/>
        </w:rPr>
        <w:t xml:space="preserve"> I</w:t>
      </w:r>
      <w:r w:rsidRPr="00D339F4">
        <w:rPr>
          <w:i/>
          <w:vertAlign w:val="subscript"/>
        </w:rPr>
        <w:t>a</w:t>
      </w:r>
      <w:r w:rsidRPr="00D339F4">
        <w:t xml:space="preserve"> models. NSE</w:t>
      </w:r>
      <w:r w:rsidRPr="00D339F4">
        <w:rPr>
          <w:i/>
          <w:vertAlign w:val="subscript"/>
        </w:rPr>
        <w:t>S</w:t>
      </w:r>
      <w:r w:rsidRPr="00D339F4">
        <w:t xml:space="preserve"> was negative in all the models, indicating that their estimates of </w:t>
      </w:r>
      <w:r w:rsidRPr="00D339F4">
        <w:rPr>
          <w:i/>
        </w:rPr>
        <w:t>S</w:t>
      </w:r>
      <w:r w:rsidRPr="00D339F4">
        <w:t xml:space="preserve"> were poor. In case of the conventional models this was due to using uniform </w:t>
      </w:r>
      <w:r w:rsidRPr="00D339F4">
        <w:rPr>
          <w:i/>
        </w:rPr>
        <w:t>I</w:t>
      </w:r>
      <w:r w:rsidRPr="00D339F4">
        <w:rPr>
          <w:i/>
          <w:vertAlign w:val="subscript"/>
        </w:rPr>
        <w:t>a</w:t>
      </w:r>
      <w:r w:rsidRPr="00D339F4">
        <w:rPr>
          <w:b/>
          <w:bCs/>
        </w:rPr>
        <w:t xml:space="preserve"> </w:t>
      </w:r>
      <w:r w:rsidRPr="00D339F4">
        <w:t xml:space="preserve">and </w:t>
      </w:r>
      <w:r w:rsidRPr="00D339F4">
        <w:rPr>
          <w:i/>
        </w:rPr>
        <w:t>S</w:t>
      </w:r>
      <w:r w:rsidRPr="00D339F4">
        <w:t>, and thereby homogenizing the watershed. In case of the variable</w:t>
      </w:r>
      <w:r w:rsidRPr="00D339F4">
        <w:rPr>
          <w:i/>
        </w:rPr>
        <w:t xml:space="preserve"> I</w:t>
      </w:r>
      <w:r w:rsidRPr="00D339F4">
        <w:rPr>
          <w:i/>
          <w:vertAlign w:val="subscript"/>
        </w:rPr>
        <w:t>a</w:t>
      </w:r>
      <w:r w:rsidRPr="00D339F4">
        <w:t xml:space="preserve"> models, this was due to their inability to model the S-shaped function of </w:t>
      </w:r>
      <w:r w:rsidRPr="00D339F4">
        <w:rPr>
          <w:i/>
        </w:rPr>
        <w:t>S</w:t>
      </w:r>
      <w:r w:rsidRPr="00D339F4">
        <w:t>. Based on NSE</w:t>
      </w:r>
      <w:r w:rsidRPr="00D339F4">
        <w:rPr>
          <w:i/>
          <w:vertAlign w:val="subscript"/>
        </w:rPr>
        <w:t>Ia</w:t>
      </w:r>
      <w:r w:rsidRPr="00D339F4">
        <w:t xml:space="preserve"> and NSE</w:t>
      </w:r>
      <w:r w:rsidRPr="00D339F4">
        <w:rPr>
          <w:i/>
          <w:vertAlign w:val="subscript"/>
        </w:rPr>
        <w:t>S</w:t>
      </w:r>
      <w:r w:rsidRPr="00D339F4">
        <w:t>, VIMλ was the best model in estimating watershed heterogeneity.</w:t>
      </w:r>
    </w:p>
    <w:p w:rsidR="004A14A3" w:rsidRPr="00D146DB" w:rsidRDefault="00D339F4" w:rsidP="004A14A3">
      <w:pPr>
        <w:pStyle w:val="NormalNew"/>
      </w:pPr>
      <w:r w:rsidRPr="00D339F4">
        <w:t>Variable</w:t>
      </w:r>
      <w:r w:rsidRPr="00D339F4">
        <w:rPr>
          <w:i/>
          <w:iCs/>
        </w:rPr>
        <w:t xml:space="preserve"> I</w:t>
      </w:r>
      <w:r w:rsidRPr="00D339F4">
        <w:rPr>
          <w:i/>
          <w:iCs/>
          <w:vertAlign w:val="subscript"/>
        </w:rPr>
        <w:t>a</w:t>
      </w:r>
      <w:r w:rsidRPr="00D339F4">
        <w:t xml:space="preserve"> models also predicted runoff better than the conventional models in smaller rainfall events (</w:t>
      </w:r>
      <w:r w:rsidRPr="00D339F4">
        <w:rPr>
          <w:i/>
        </w:rPr>
        <w:t>P</w:t>
      </w:r>
      <w:r w:rsidRPr="00D339F4">
        <w:t xml:space="preserve"> &lt; 8 mm) as indicated by NSE</w:t>
      </w:r>
      <w:r w:rsidRPr="00D339F4">
        <w:rPr>
          <w:i/>
          <w:vertAlign w:val="subscript"/>
        </w:rPr>
        <w:t>Q</w:t>
      </w:r>
      <w:r w:rsidRPr="00D339F4">
        <w:rPr>
          <w:vertAlign w:val="subscript"/>
        </w:rPr>
        <w:t>50</w:t>
      </w:r>
      <w:r w:rsidRPr="00D339F4">
        <w:t xml:space="preserve"> and PB</w:t>
      </w:r>
      <w:r w:rsidRPr="00D339F4">
        <w:rPr>
          <w:i/>
          <w:vertAlign w:val="subscript"/>
        </w:rPr>
        <w:t>Q</w:t>
      </w:r>
      <w:r w:rsidRPr="00D339F4">
        <w:rPr>
          <w:vertAlign w:val="subscript"/>
        </w:rPr>
        <w:t>50</w:t>
      </w:r>
      <w:r w:rsidRPr="00D339F4">
        <w:t xml:space="preserve">. In both cases of </w:t>
      </w:r>
      <w:r w:rsidRPr="00D339F4">
        <w:rPr>
          <w:i/>
          <w:iCs/>
        </w:rPr>
        <w:t>λ</w:t>
      </w:r>
      <w:r w:rsidRPr="00D339F4">
        <w:rPr>
          <w:i/>
          <w:iCs/>
          <w:vertAlign w:val="subscript"/>
        </w:rPr>
        <w:t>i</w:t>
      </w:r>
      <w:r w:rsidRPr="00D339F4">
        <w:rPr>
          <w:lang w:bidi="te-IN"/>
        </w:rPr>
        <w:t xml:space="preserve"> = 0.2 and 0.5</w:t>
      </w:r>
      <w:r w:rsidRPr="00D339F4">
        <w:t>, only HRU #0 (</w:t>
      </w:r>
      <w:r w:rsidR="00B615A2" w:rsidRPr="00B615A2">
        <w:rPr>
          <w:bCs/>
        </w:rPr>
        <w:t xml:space="preserve">Table </w:t>
      </w:r>
      <w:r w:rsidR="00B615A2" w:rsidRPr="00B615A2">
        <w:rPr>
          <w:bCs/>
          <w:noProof/>
        </w:rPr>
        <w:t>2</w:t>
      </w:r>
      <w:r w:rsidRPr="00D339F4">
        <w:t xml:space="preserve">) produced runoff when </w:t>
      </w:r>
      <w:r w:rsidRPr="00D339F4">
        <w:rPr>
          <w:i/>
        </w:rPr>
        <w:t>P</w:t>
      </w:r>
      <w:r w:rsidRPr="00D339F4">
        <w:t xml:space="preserve"> &lt; 8 mm. This was similar to the case of a partial source area. As </w:t>
      </w:r>
      <w:r w:rsidRPr="00D339F4">
        <w:rPr>
          <w:iCs/>
        </w:rPr>
        <w:t xml:space="preserve">CM0.2 and CMλ </w:t>
      </w:r>
      <w:r w:rsidRPr="00D339F4">
        <w:t xml:space="preserve">predicted an </w:t>
      </w:r>
      <w:r w:rsidRPr="00D339F4">
        <w:rPr>
          <w:i/>
          <w:iCs/>
        </w:rPr>
        <w:t>I</w:t>
      </w:r>
      <w:r w:rsidRPr="00D339F4">
        <w:rPr>
          <w:i/>
          <w:iCs/>
          <w:vertAlign w:val="subscript"/>
        </w:rPr>
        <w:t>a</w:t>
      </w:r>
      <w:r w:rsidRPr="00D339F4">
        <w:t xml:space="preserve"> &gt; 8 mm in both cases </w:t>
      </w:r>
      <w:r w:rsidRPr="00D339F4">
        <w:rPr>
          <w:iCs/>
        </w:rPr>
        <w:t>(</w:t>
      </w:r>
      <w:r w:rsidR="00B615A2" w:rsidRPr="00B615A2">
        <w:rPr>
          <w:bCs/>
        </w:rPr>
        <w:t xml:space="preserve">Table </w:t>
      </w:r>
      <w:r w:rsidR="00B615A2" w:rsidRPr="00B615A2">
        <w:rPr>
          <w:bCs/>
          <w:noProof/>
        </w:rPr>
        <w:t>3</w:t>
      </w:r>
      <w:r w:rsidRPr="00D339F4">
        <w:rPr>
          <w:iCs/>
        </w:rPr>
        <w:t>)</w:t>
      </w:r>
      <w:r w:rsidRPr="00D339F4">
        <w:t xml:space="preserve">, they falsely predicted zero-runoffs in all the events with </w:t>
      </w:r>
      <w:r w:rsidRPr="00D339F4">
        <w:rPr>
          <w:i/>
        </w:rPr>
        <w:t>P</w:t>
      </w:r>
      <w:r w:rsidRPr="00D339F4">
        <w:t xml:space="preserve"> &lt; 8 mm because the runoff condition (</w:t>
      </w:r>
      <w:r w:rsidRPr="00D339F4">
        <w:rPr>
          <w:i/>
        </w:rPr>
        <w:t>P</w:t>
      </w:r>
      <w:r w:rsidRPr="00D339F4">
        <w:t xml:space="preserve"> &gt; </w:t>
      </w:r>
      <w:r w:rsidRPr="00D339F4">
        <w:rPr>
          <w:i/>
          <w:iCs/>
        </w:rPr>
        <w:t>I</w:t>
      </w:r>
      <w:r w:rsidRPr="00D339F4">
        <w:rPr>
          <w:i/>
          <w:iCs/>
          <w:vertAlign w:val="subscript"/>
        </w:rPr>
        <w:t>a</w:t>
      </w:r>
      <w:r w:rsidRPr="00D339F4">
        <w:t>) could not be overcome. Therefore, their PB</w:t>
      </w:r>
      <w:r w:rsidRPr="00D339F4">
        <w:rPr>
          <w:i/>
          <w:vertAlign w:val="subscript"/>
        </w:rPr>
        <w:t>Q</w:t>
      </w:r>
      <w:r w:rsidRPr="00D339F4">
        <w:rPr>
          <w:vertAlign w:val="subscript"/>
        </w:rPr>
        <w:t>50</w:t>
      </w:r>
      <w:r w:rsidRPr="00D339F4">
        <w:t xml:space="preserve"> = 100 </w:t>
      </w:r>
      <w:r w:rsidRPr="00D339F4">
        <w:rPr>
          <w:iCs/>
        </w:rPr>
        <w:t xml:space="preserve">in both </w:t>
      </w:r>
      <w:r w:rsidRPr="00D339F4">
        <w:t>cases, indicating a 100% under-prediction in small events</w:t>
      </w:r>
      <w:r w:rsidRPr="00D339F4">
        <w:rPr>
          <w:lang w:bidi="te-IN"/>
        </w:rPr>
        <w:t xml:space="preserve">. Their </w:t>
      </w:r>
      <w:r w:rsidRPr="00D339F4">
        <w:t>NSE</w:t>
      </w:r>
      <w:r w:rsidRPr="00D339F4">
        <w:rPr>
          <w:i/>
          <w:vertAlign w:val="subscript"/>
        </w:rPr>
        <w:t>Q</w:t>
      </w:r>
      <w:r w:rsidRPr="00D339F4">
        <w:rPr>
          <w:vertAlign w:val="subscript"/>
        </w:rPr>
        <w:t>50</w:t>
      </w:r>
      <w:r w:rsidRPr="00D339F4">
        <w:rPr>
          <w:lang w:bidi="te-IN"/>
        </w:rPr>
        <w:t xml:space="preserve"> was also poor with the same value in </w:t>
      </w:r>
      <w:r w:rsidRPr="00D339F4">
        <w:rPr>
          <w:iCs/>
        </w:rPr>
        <w:t xml:space="preserve">both </w:t>
      </w:r>
      <w:r w:rsidRPr="00D339F4">
        <w:t>cases. VIMS performed slightly better than the conventional models with 70-90% under-predictions, and with NSE</w:t>
      </w:r>
      <w:r w:rsidRPr="00D339F4">
        <w:rPr>
          <w:i/>
          <w:vertAlign w:val="subscript"/>
        </w:rPr>
        <w:t>Q</w:t>
      </w:r>
      <w:r w:rsidRPr="00D339F4">
        <w:rPr>
          <w:vertAlign w:val="subscript"/>
        </w:rPr>
        <w:t>50</w:t>
      </w:r>
      <w:r w:rsidRPr="00D339F4">
        <w:t xml:space="preserve"> varying from -0.8 to -1.8 </w:t>
      </w:r>
      <w:r w:rsidRPr="00D339F4">
        <w:rPr>
          <w:iCs/>
        </w:rPr>
        <w:t>(</w:t>
      </w:r>
      <w:r w:rsidR="00B615A2" w:rsidRPr="00B615A2">
        <w:rPr>
          <w:bCs/>
        </w:rPr>
        <w:t xml:space="preserve">Table </w:t>
      </w:r>
      <w:r w:rsidR="00B615A2" w:rsidRPr="00B615A2">
        <w:rPr>
          <w:bCs/>
          <w:noProof/>
        </w:rPr>
        <w:t>3</w:t>
      </w:r>
      <w:r w:rsidRPr="00D339F4">
        <w:rPr>
          <w:iCs/>
        </w:rPr>
        <w:t>)</w:t>
      </w:r>
      <w:r w:rsidRPr="00D339F4">
        <w:t xml:space="preserve">. </w:t>
      </w:r>
      <w:r w:rsidRPr="00D339F4">
        <w:rPr>
          <w:iCs/>
        </w:rPr>
        <w:t>VIMλ</w:t>
      </w:r>
      <w:r w:rsidRPr="00D339F4">
        <w:t xml:space="preserve"> performed significantly better than all the other models with 30% or less </w:t>
      </w:r>
      <w:r w:rsidRPr="00D339F4">
        <w:lastRenderedPageBreak/>
        <w:t>under-predictions, and with NSE</w:t>
      </w:r>
      <w:r w:rsidRPr="00D339F4">
        <w:rPr>
          <w:i/>
          <w:vertAlign w:val="subscript"/>
        </w:rPr>
        <w:t>Q</w:t>
      </w:r>
      <w:r w:rsidRPr="00D339F4">
        <w:rPr>
          <w:vertAlign w:val="subscript"/>
        </w:rPr>
        <w:t>50</w:t>
      </w:r>
      <w:r w:rsidRPr="00D339F4">
        <w:t xml:space="preserve"> varying from 0.6 to 0.9. Even though there were under-predictions, there was no false prediction of zero-runoff for any of the events in the variable</w:t>
      </w:r>
      <w:r w:rsidRPr="00D339F4">
        <w:rPr>
          <w:i/>
          <w:iCs/>
        </w:rPr>
        <w:t xml:space="preserve"> I</w:t>
      </w:r>
      <w:r w:rsidRPr="00D339F4">
        <w:rPr>
          <w:i/>
          <w:iCs/>
          <w:vertAlign w:val="subscript"/>
        </w:rPr>
        <w:t>a</w:t>
      </w:r>
      <w:r w:rsidRPr="00D339F4">
        <w:t xml:space="preserve"> models.</w:t>
      </w:r>
    </w:p>
    <w:p w:rsidR="00D339F4" w:rsidRPr="00D339F4" w:rsidRDefault="00D339F4" w:rsidP="004A14A3">
      <w:pPr>
        <w:pStyle w:val="NormalNew"/>
        <w:rPr>
          <w:iCs/>
        </w:rPr>
      </w:pPr>
    </w:p>
    <w:p w:rsidR="00D339F4" w:rsidRPr="00D339F4" w:rsidRDefault="00D339F4" w:rsidP="00D339F4">
      <w:pPr>
        <w:spacing w:line="480" w:lineRule="auto"/>
        <w:ind w:firstLine="720"/>
        <w:rPr>
          <w:rFonts w:eastAsia="Calibri"/>
          <w:szCs w:val="22"/>
        </w:rPr>
        <w:sectPr w:rsidR="00D339F4" w:rsidRPr="00D339F4" w:rsidSect="00587EFA">
          <w:headerReference w:type="default" r:id="rId66"/>
          <w:footerReference w:type="default" r:id="rId67"/>
          <w:pgSz w:w="11907" w:h="13608" w:code="1"/>
          <w:pgMar w:top="567" w:right="936" w:bottom="1338" w:left="936" w:header="0" w:footer="567" w:gutter="0"/>
          <w:lnNumType w:countBy="5"/>
          <w:cols w:space="720"/>
          <w:docGrid w:linePitch="360"/>
        </w:sectPr>
      </w:pPr>
    </w:p>
    <w:p w:rsidR="00A534CF" w:rsidRPr="00536C7A" w:rsidRDefault="00D339F4" w:rsidP="00A534CF">
      <w:pPr>
        <w:keepNext/>
        <w:spacing w:after="200"/>
        <w:rPr>
          <w:rFonts w:eastAsia="Calibri"/>
          <w:sz w:val="20"/>
          <w:szCs w:val="20"/>
        </w:rPr>
      </w:pPr>
      <w:bookmarkStart w:id="86" w:name="_Ref422383705"/>
      <w:bookmarkStart w:id="87" w:name="_Toc481389992"/>
      <w:r w:rsidRPr="00536C7A">
        <w:rPr>
          <w:rFonts w:eastAsia="Calibri"/>
          <w:b/>
          <w:bCs/>
          <w:sz w:val="20"/>
          <w:szCs w:val="20"/>
        </w:rPr>
        <w:lastRenderedPageBreak/>
        <w:t xml:space="preserve">Table </w:t>
      </w:r>
      <w:r w:rsidR="00B615A2">
        <w:rPr>
          <w:rFonts w:eastAsia="Calibri"/>
          <w:b/>
          <w:bCs/>
          <w:noProof/>
          <w:sz w:val="20"/>
          <w:szCs w:val="20"/>
        </w:rPr>
        <w:t>3</w:t>
      </w:r>
      <w:bookmarkEnd w:id="86"/>
      <w:r w:rsidRPr="00536C7A">
        <w:rPr>
          <w:rFonts w:eastAsia="Calibri"/>
          <w:b/>
          <w:bCs/>
          <w:sz w:val="20"/>
          <w:szCs w:val="20"/>
        </w:rPr>
        <w:t>.</w:t>
      </w:r>
      <w:r w:rsidRPr="00536C7A">
        <w:rPr>
          <w:rFonts w:eastAsia="Calibri"/>
          <w:sz w:val="20"/>
          <w:szCs w:val="20"/>
        </w:rPr>
        <w:t xml:space="preserve"> The performance of lumped parameter CN models that were calibrated to the runoff data generated using a distributed CN model for two cases of a synthetic watershed with the storage distribution shown in </w:t>
      </w:r>
      <w:r w:rsidR="00B615A2" w:rsidRPr="00B615A2">
        <w:rPr>
          <w:rFonts w:eastAsia="Calibri"/>
          <w:sz w:val="20"/>
          <w:szCs w:val="20"/>
        </w:rPr>
        <w:t>Table 2</w:t>
      </w:r>
      <w:r w:rsidRPr="00536C7A">
        <w:rPr>
          <w:rFonts w:eastAsia="Calibri"/>
          <w:sz w:val="20"/>
          <w:szCs w:val="20"/>
        </w:rPr>
        <w:t xml:space="preserve">. SEE, </w:t>
      </w:r>
      <w:r w:rsidRPr="00536C7A">
        <w:rPr>
          <w:rFonts w:eastAsia="Calibri"/>
          <w:i/>
          <w:iCs/>
          <w:sz w:val="20"/>
          <w:szCs w:val="20"/>
        </w:rPr>
        <w:t>I</w:t>
      </w:r>
      <w:r w:rsidRPr="00536C7A">
        <w:rPr>
          <w:rFonts w:eastAsia="Calibri"/>
          <w:i/>
          <w:iCs/>
          <w:sz w:val="20"/>
          <w:szCs w:val="20"/>
          <w:vertAlign w:val="subscript"/>
        </w:rPr>
        <w:t>a</w:t>
      </w:r>
      <w:r w:rsidRPr="00536C7A">
        <w:rPr>
          <w:rFonts w:eastAsia="Calibri"/>
          <w:sz w:val="20"/>
          <w:szCs w:val="20"/>
        </w:rPr>
        <w:t xml:space="preserve">, and </w:t>
      </w:r>
      <w:r w:rsidRPr="00536C7A">
        <w:rPr>
          <w:rFonts w:eastAsia="Calibri"/>
          <w:i/>
          <w:sz w:val="20"/>
          <w:szCs w:val="20"/>
        </w:rPr>
        <w:t>S</w:t>
      </w:r>
      <w:r w:rsidRPr="00536C7A">
        <w:rPr>
          <w:rFonts w:eastAsia="Calibri"/>
          <w:sz w:val="20"/>
          <w:szCs w:val="20"/>
        </w:rPr>
        <w:t xml:space="preserve"> are in mm. (SEE: Standard Error of Estimate, PB: Percent Bias, NSE: Nash-Sutcliffe Efficiency parameter</w:t>
      </w:r>
      <w:r w:rsidR="00A534CF">
        <w:rPr>
          <w:rFonts w:eastAsia="Calibri"/>
          <w:sz w:val="20"/>
          <w:szCs w:val="20"/>
        </w:rPr>
        <w:t>, rNSE: relative NSE</w:t>
      </w:r>
      <w:r w:rsidRPr="00536C7A">
        <w:rPr>
          <w:rFonts w:eastAsia="Calibri"/>
          <w:sz w:val="20"/>
          <w:szCs w:val="20"/>
        </w:rPr>
        <w:t>)</w:t>
      </w:r>
      <w:bookmarkEnd w:id="87"/>
    </w:p>
    <w:tbl>
      <w:tblPr>
        <w:tblStyle w:val="TableGrid3"/>
        <w:tblW w:w="1161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00"/>
        <w:gridCol w:w="810"/>
        <w:gridCol w:w="990"/>
        <w:gridCol w:w="938"/>
        <w:gridCol w:w="938"/>
        <w:gridCol w:w="955"/>
        <w:gridCol w:w="997"/>
        <w:gridCol w:w="1022"/>
        <w:gridCol w:w="1022"/>
        <w:gridCol w:w="1091"/>
        <w:gridCol w:w="855"/>
        <w:gridCol w:w="1092"/>
      </w:tblGrid>
      <w:tr w:rsidR="00A534CF" w:rsidRPr="00536C7A" w:rsidTr="00A077B3">
        <w:trPr>
          <w:trHeight w:hRule="exact" w:val="576"/>
          <w:jc w:val="center"/>
        </w:trPr>
        <w:tc>
          <w:tcPr>
            <w:tcW w:w="900" w:type="dxa"/>
            <w:vMerge w:val="restart"/>
            <w:vAlign w:val="center"/>
          </w:tcPr>
          <w:p w:rsidR="00A534CF" w:rsidRDefault="00A534CF" w:rsidP="00A077B3">
            <w:pPr>
              <w:rPr>
                <w:rFonts w:eastAsia="Calibri"/>
                <w:iCs/>
                <w:sz w:val="20"/>
                <w:szCs w:val="20"/>
              </w:rPr>
            </w:pPr>
            <w:r w:rsidRPr="00536C7A">
              <w:rPr>
                <w:rFonts w:eastAsia="Calibri"/>
                <w:iCs/>
                <w:sz w:val="20"/>
                <w:szCs w:val="20"/>
              </w:rPr>
              <w:t>Lumped</w:t>
            </w:r>
          </w:p>
          <w:p w:rsidR="00A534CF" w:rsidRPr="00536C7A" w:rsidRDefault="00A534CF" w:rsidP="00A077B3">
            <w:pPr>
              <w:rPr>
                <w:rFonts w:eastAsia="Calibri"/>
                <w:iCs/>
                <w:sz w:val="20"/>
                <w:szCs w:val="20"/>
              </w:rPr>
            </w:pPr>
            <w:r w:rsidRPr="00536C7A">
              <w:rPr>
                <w:rFonts w:eastAsia="Calibri"/>
                <w:iCs/>
                <w:sz w:val="20"/>
                <w:szCs w:val="20"/>
              </w:rPr>
              <w:t>Model</w:t>
            </w:r>
          </w:p>
        </w:tc>
        <w:tc>
          <w:tcPr>
            <w:tcW w:w="810" w:type="dxa"/>
          </w:tcPr>
          <w:p w:rsidR="00A534CF" w:rsidRPr="00536C7A" w:rsidRDefault="00A534CF" w:rsidP="00A077B3">
            <w:pPr>
              <w:spacing w:before="240" w:line="360" w:lineRule="auto"/>
              <w:jc w:val="center"/>
              <w:rPr>
                <w:rFonts w:eastAsia="Calibri"/>
                <w:iCs/>
                <w:sz w:val="20"/>
                <w:szCs w:val="20"/>
              </w:rPr>
            </w:pPr>
          </w:p>
        </w:tc>
        <w:tc>
          <w:tcPr>
            <w:tcW w:w="9900" w:type="dxa"/>
            <w:gridSpan w:val="10"/>
          </w:tcPr>
          <w:p w:rsidR="00A534CF" w:rsidRPr="00536C7A" w:rsidRDefault="00A534CF" w:rsidP="00A077B3">
            <w:pPr>
              <w:spacing w:before="240" w:line="360" w:lineRule="auto"/>
              <w:jc w:val="center"/>
              <w:rPr>
                <w:rFonts w:eastAsia="Calibri"/>
                <w:iCs/>
                <w:sz w:val="20"/>
                <w:szCs w:val="20"/>
              </w:rPr>
            </w:pPr>
            <w:r w:rsidRPr="00536C7A">
              <w:rPr>
                <w:rFonts w:eastAsia="Calibri"/>
                <w:iCs/>
                <w:sz w:val="20"/>
                <w:szCs w:val="20"/>
              </w:rPr>
              <w:t xml:space="preserve">Distributed Model: </w:t>
            </w:r>
            <w:r w:rsidRPr="00536C7A">
              <w:rPr>
                <w:rFonts w:eastAsia="Calibri"/>
                <w:i/>
                <w:iCs/>
                <w:sz w:val="20"/>
                <w:szCs w:val="20"/>
              </w:rPr>
              <w:t>λ</w:t>
            </w:r>
            <w:r w:rsidRPr="00536C7A">
              <w:rPr>
                <w:rFonts w:eastAsia="Calibri"/>
                <w:i/>
                <w:iCs/>
                <w:sz w:val="20"/>
                <w:szCs w:val="20"/>
                <w:vertAlign w:val="subscript"/>
              </w:rPr>
              <w:t>i</w:t>
            </w:r>
            <w:r w:rsidRPr="00536C7A">
              <w:rPr>
                <w:rFonts w:eastAsia="Calibri"/>
                <w:sz w:val="20"/>
                <w:szCs w:val="20"/>
                <w:lang w:bidi="te-IN"/>
              </w:rPr>
              <w:t xml:space="preserve"> </w:t>
            </w:r>
            <w:r w:rsidRPr="00536C7A">
              <w:rPr>
                <w:rFonts w:eastAsia="Calibri"/>
                <w:iCs/>
                <w:sz w:val="20"/>
                <w:szCs w:val="20"/>
              </w:rPr>
              <w:t xml:space="preserve">= 0.2, </w:t>
            </w:r>
            <w:r w:rsidRPr="00536C7A">
              <w:rPr>
                <w:rFonts w:eastAsia="Calibri"/>
                <w:i/>
                <w:iCs/>
                <w:sz w:val="20"/>
                <w:szCs w:val="20"/>
              </w:rPr>
              <w:t>I</w:t>
            </w:r>
            <w:r w:rsidRPr="00536C7A">
              <w:rPr>
                <w:rFonts w:eastAsia="Calibri"/>
                <w:i/>
                <w:iCs/>
                <w:sz w:val="20"/>
                <w:szCs w:val="20"/>
                <w:vertAlign w:val="subscript"/>
              </w:rPr>
              <w:t>aT</w:t>
            </w:r>
            <w:r w:rsidRPr="00536C7A">
              <w:rPr>
                <w:rFonts w:eastAsia="Calibri"/>
                <w:iCs/>
                <w:sz w:val="20"/>
                <w:szCs w:val="20"/>
              </w:rPr>
              <w:t xml:space="preserve"> = 22, </w:t>
            </w:r>
            <w:r w:rsidRPr="00536C7A">
              <w:rPr>
                <w:rFonts w:eastAsia="Calibri"/>
                <w:i/>
                <w:iCs/>
                <w:sz w:val="20"/>
                <w:szCs w:val="20"/>
              </w:rPr>
              <w:t>I</w:t>
            </w:r>
            <w:r w:rsidRPr="00536C7A">
              <w:rPr>
                <w:rFonts w:eastAsia="Calibri"/>
                <w:i/>
                <w:iCs/>
                <w:sz w:val="20"/>
                <w:szCs w:val="20"/>
                <w:vertAlign w:val="subscript"/>
              </w:rPr>
              <w:t>a</w:t>
            </w:r>
            <w:r w:rsidRPr="00536C7A">
              <w:rPr>
                <w:rFonts w:eastAsia="Calibri"/>
                <w:sz w:val="20"/>
                <w:szCs w:val="20"/>
                <w:vertAlign w:val="subscript"/>
              </w:rPr>
              <w:t>,max</w:t>
            </w:r>
            <w:r w:rsidRPr="00536C7A">
              <w:rPr>
                <w:rFonts w:eastAsia="Calibri"/>
                <w:iCs/>
                <w:sz w:val="20"/>
                <w:szCs w:val="20"/>
              </w:rPr>
              <w:t xml:space="preserve"> = 40, </w:t>
            </w:r>
            <w:r w:rsidRPr="00536C7A">
              <w:rPr>
                <w:rFonts w:eastAsia="Calibri"/>
                <w:i/>
                <w:iCs/>
                <w:sz w:val="20"/>
                <w:szCs w:val="20"/>
              </w:rPr>
              <w:t>S</w:t>
            </w:r>
            <w:r w:rsidRPr="00536C7A">
              <w:rPr>
                <w:rFonts w:eastAsia="Calibri"/>
                <w:iCs/>
                <w:sz w:val="20"/>
                <w:szCs w:val="20"/>
                <w:vertAlign w:val="subscript"/>
              </w:rPr>
              <w:t>∞</w:t>
            </w:r>
            <w:r w:rsidRPr="00536C7A">
              <w:rPr>
                <w:rFonts w:eastAsia="Calibri"/>
                <w:sz w:val="20"/>
                <w:szCs w:val="20"/>
                <w:lang w:bidi="te-IN"/>
              </w:rPr>
              <w:t xml:space="preserve"> </w:t>
            </w:r>
            <w:r w:rsidRPr="00536C7A">
              <w:rPr>
                <w:rFonts w:eastAsia="Calibri"/>
                <w:iCs/>
                <w:sz w:val="20"/>
                <w:szCs w:val="20"/>
              </w:rPr>
              <w:t>= 112</w:t>
            </w:r>
          </w:p>
        </w:tc>
      </w:tr>
      <w:tr w:rsidR="00297712" w:rsidRPr="00536C7A" w:rsidTr="00A077B3">
        <w:trPr>
          <w:trHeight w:hRule="exact" w:val="576"/>
          <w:jc w:val="center"/>
        </w:trPr>
        <w:tc>
          <w:tcPr>
            <w:tcW w:w="900" w:type="dxa"/>
            <w:vMerge/>
          </w:tcPr>
          <w:p w:rsidR="00297712" w:rsidRPr="00536C7A" w:rsidRDefault="00297712" w:rsidP="00297712">
            <w:pPr>
              <w:spacing w:before="240" w:after="240" w:line="360" w:lineRule="auto"/>
              <w:rPr>
                <w:rFonts w:eastAsia="Calibri"/>
                <w:iCs/>
                <w:sz w:val="20"/>
                <w:szCs w:val="20"/>
              </w:rPr>
            </w:pPr>
          </w:p>
        </w:tc>
        <w:tc>
          <w:tcPr>
            <w:tcW w:w="810" w:type="dxa"/>
          </w:tcPr>
          <w:p w:rsidR="00297712" w:rsidRPr="00536C7A" w:rsidRDefault="00297712" w:rsidP="00297712">
            <w:pPr>
              <w:spacing w:before="240" w:after="240" w:line="360" w:lineRule="auto"/>
              <w:jc w:val="right"/>
              <w:rPr>
                <w:rFonts w:eastAsia="Calibri"/>
                <w:sz w:val="20"/>
                <w:szCs w:val="20"/>
              </w:rPr>
            </w:pPr>
            <w:r>
              <w:rPr>
                <w:rFonts w:eastAsia="Calibri"/>
                <w:sz w:val="20"/>
                <w:szCs w:val="20"/>
              </w:rPr>
              <w:t>rNS</w:t>
            </w:r>
            <w:r w:rsidRPr="00536C7A">
              <w:rPr>
                <w:rFonts w:eastAsia="Calibri"/>
                <w:sz w:val="20"/>
                <w:szCs w:val="20"/>
              </w:rPr>
              <w:t>E</w:t>
            </w:r>
            <w:r w:rsidRPr="00536C7A">
              <w:rPr>
                <w:rFonts w:eastAsia="Calibri"/>
                <w:i/>
                <w:sz w:val="20"/>
                <w:szCs w:val="20"/>
                <w:vertAlign w:val="subscript"/>
              </w:rPr>
              <w:t>Q</w:t>
            </w:r>
          </w:p>
        </w:tc>
        <w:tc>
          <w:tcPr>
            <w:tcW w:w="990" w:type="dxa"/>
          </w:tcPr>
          <w:p w:rsidR="00297712" w:rsidRPr="00536C7A" w:rsidRDefault="00297712" w:rsidP="00297712">
            <w:pPr>
              <w:spacing w:before="240" w:after="240" w:line="360" w:lineRule="auto"/>
              <w:jc w:val="right"/>
              <w:rPr>
                <w:rFonts w:eastAsia="Calibri"/>
                <w:i/>
                <w:sz w:val="20"/>
                <w:szCs w:val="20"/>
                <w:vertAlign w:val="subscript"/>
              </w:rPr>
            </w:pPr>
            <w:r w:rsidRPr="00536C7A">
              <w:rPr>
                <w:rFonts w:eastAsia="Calibri"/>
                <w:sz w:val="20"/>
                <w:szCs w:val="20"/>
              </w:rPr>
              <w:t>SEE</w:t>
            </w:r>
            <w:r w:rsidRPr="00536C7A">
              <w:rPr>
                <w:rFonts w:eastAsia="Calibri"/>
                <w:i/>
                <w:sz w:val="20"/>
                <w:szCs w:val="20"/>
                <w:vertAlign w:val="subscript"/>
              </w:rPr>
              <w:t>Q</w:t>
            </w:r>
          </w:p>
        </w:tc>
        <w:tc>
          <w:tcPr>
            <w:tcW w:w="938" w:type="dxa"/>
          </w:tcPr>
          <w:p w:rsidR="00297712" w:rsidRPr="00536C7A" w:rsidRDefault="00297712" w:rsidP="00297712">
            <w:pPr>
              <w:spacing w:before="240" w:after="240" w:line="360" w:lineRule="auto"/>
              <w:jc w:val="right"/>
              <w:rPr>
                <w:rFonts w:eastAsia="Calibri"/>
                <w:i/>
                <w:iCs/>
                <w:sz w:val="20"/>
                <w:szCs w:val="20"/>
                <w:vertAlign w:val="subscript"/>
              </w:rPr>
            </w:pPr>
            <w:r w:rsidRPr="00536C7A">
              <w:rPr>
                <w:rFonts w:eastAsia="Calibri"/>
                <w:sz w:val="20"/>
                <w:szCs w:val="20"/>
              </w:rPr>
              <w:t>PB</w:t>
            </w:r>
            <w:r w:rsidRPr="00536C7A">
              <w:rPr>
                <w:rFonts w:eastAsia="Calibri"/>
                <w:i/>
                <w:sz w:val="20"/>
                <w:szCs w:val="20"/>
                <w:vertAlign w:val="subscript"/>
              </w:rPr>
              <w:t>Q</w:t>
            </w:r>
          </w:p>
        </w:tc>
        <w:tc>
          <w:tcPr>
            <w:tcW w:w="938" w:type="dxa"/>
          </w:tcPr>
          <w:p w:rsidR="00297712" w:rsidRPr="00536C7A" w:rsidRDefault="00297712" w:rsidP="00297712">
            <w:pPr>
              <w:spacing w:before="240" w:after="240" w:line="360" w:lineRule="auto"/>
              <w:jc w:val="right"/>
              <w:rPr>
                <w:rFonts w:eastAsia="Calibri"/>
                <w:iCs/>
                <w:sz w:val="20"/>
                <w:szCs w:val="20"/>
              </w:rPr>
            </w:pPr>
            <w:r w:rsidRPr="00536C7A">
              <w:rPr>
                <w:rFonts w:eastAsia="Calibri"/>
                <w:sz w:val="20"/>
                <w:szCs w:val="20"/>
              </w:rPr>
              <w:t>NSE</w:t>
            </w:r>
            <w:r w:rsidRPr="00536C7A">
              <w:rPr>
                <w:rFonts w:eastAsia="Calibri"/>
                <w:i/>
                <w:sz w:val="20"/>
                <w:szCs w:val="20"/>
                <w:vertAlign w:val="subscript"/>
              </w:rPr>
              <w:t>Ia</w:t>
            </w:r>
          </w:p>
        </w:tc>
        <w:tc>
          <w:tcPr>
            <w:tcW w:w="955" w:type="dxa"/>
          </w:tcPr>
          <w:p w:rsidR="00297712" w:rsidRPr="00536C7A" w:rsidRDefault="00297712" w:rsidP="00297712">
            <w:pPr>
              <w:spacing w:before="240" w:after="240" w:line="360" w:lineRule="auto"/>
              <w:jc w:val="right"/>
              <w:rPr>
                <w:rFonts w:eastAsia="Calibri"/>
                <w:iCs/>
                <w:sz w:val="20"/>
                <w:szCs w:val="20"/>
              </w:rPr>
            </w:pPr>
            <w:r w:rsidRPr="00536C7A">
              <w:rPr>
                <w:rFonts w:eastAsia="Calibri"/>
                <w:sz w:val="20"/>
                <w:szCs w:val="20"/>
              </w:rPr>
              <w:t>NSE</w:t>
            </w:r>
            <w:r w:rsidRPr="00536C7A">
              <w:rPr>
                <w:rFonts w:eastAsia="Calibri"/>
                <w:i/>
                <w:sz w:val="20"/>
                <w:szCs w:val="20"/>
                <w:vertAlign w:val="subscript"/>
              </w:rPr>
              <w:t>S</w:t>
            </w:r>
          </w:p>
        </w:tc>
        <w:tc>
          <w:tcPr>
            <w:tcW w:w="997" w:type="dxa"/>
          </w:tcPr>
          <w:p w:rsidR="00297712" w:rsidRPr="00536C7A" w:rsidRDefault="00297712" w:rsidP="00297712">
            <w:pPr>
              <w:spacing w:before="240" w:after="240" w:line="360" w:lineRule="auto"/>
              <w:jc w:val="right"/>
              <w:rPr>
                <w:rFonts w:eastAsia="Calibri"/>
                <w:iCs/>
                <w:sz w:val="20"/>
                <w:szCs w:val="20"/>
              </w:rPr>
            </w:pPr>
            <w:r w:rsidRPr="00536C7A">
              <w:rPr>
                <w:rFonts w:eastAsia="Calibri"/>
                <w:sz w:val="20"/>
                <w:szCs w:val="20"/>
              </w:rPr>
              <w:t>NSE</w:t>
            </w:r>
            <w:r w:rsidRPr="00536C7A">
              <w:rPr>
                <w:rFonts w:eastAsia="Calibri"/>
                <w:i/>
                <w:sz w:val="20"/>
                <w:szCs w:val="20"/>
                <w:vertAlign w:val="subscript"/>
              </w:rPr>
              <w:t>Q</w:t>
            </w:r>
            <w:r w:rsidRPr="00536C7A">
              <w:rPr>
                <w:rFonts w:eastAsia="Calibri"/>
                <w:sz w:val="20"/>
                <w:szCs w:val="20"/>
                <w:vertAlign w:val="subscript"/>
              </w:rPr>
              <w:t>50</w:t>
            </w:r>
          </w:p>
        </w:tc>
        <w:tc>
          <w:tcPr>
            <w:tcW w:w="1022" w:type="dxa"/>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PB</w:t>
            </w:r>
            <w:r w:rsidRPr="00536C7A">
              <w:rPr>
                <w:rFonts w:eastAsia="Calibri"/>
                <w:i/>
                <w:sz w:val="20"/>
                <w:szCs w:val="20"/>
                <w:vertAlign w:val="subscript"/>
              </w:rPr>
              <w:t>Q</w:t>
            </w:r>
            <w:r w:rsidRPr="00536C7A">
              <w:rPr>
                <w:rFonts w:eastAsia="Calibri"/>
                <w:sz w:val="20"/>
                <w:szCs w:val="20"/>
                <w:vertAlign w:val="subscript"/>
              </w:rPr>
              <w:t>50</w:t>
            </w:r>
          </w:p>
        </w:tc>
        <w:tc>
          <w:tcPr>
            <w:tcW w:w="1022" w:type="dxa"/>
          </w:tcPr>
          <w:p w:rsidR="00297712" w:rsidRPr="00536C7A" w:rsidRDefault="00297712" w:rsidP="00297712">
            <w:pPr>
              <w:spacing w:before="240" w:after="240" w:line="360" w:lineRule="auto"/>
              <w:jc w:val="right"/>
              <w:rPr>
                <w:rFonts w:eastAsia="Calibri"/>
                <w:sz w:val="20"/>
                <w:szCs w:val="20"/>
              </w:rPr>
            </w:pPr>
            <w:r w:rsidRPr="00536C7A">
              <w:rPr>
                <w:rFonts w:eastAsia="Calibri"/>
                <w:i/>
                <w:iCs/>
                <w:sz w:val="20"/>
                <w:szCs w:val="20"/>
              </w:rPr>
              <w:t>λ</w:t>
            </w:r>
            <w:r w:rsidRPr="00536C7A">
              <w:rPr>
                <w:rFonts w:eastAsia="Calibri"/>
                <w:i/>
                <w:iCs/>
                <w:sz w:val="20"/>
                <w:szCs w:val="20"/>
                <w:vertAlign w:val="subscript"/>
              </w:rPr>
              <w:t>W</w:t>
            </w:r>
          </w:p>
        </w:tc>
        <w:tc>
          <w:tcPr>
            <w:tcW w:w="1091" w:type="dxa"/>
          </w:tcPr>
          <w:p w:rsidR="00297712" w:rsidRPr="00536C7A" w:rsidRDefault="00297712" w:rsidP="00297712">
            <w:pPr>
              <w:spacing w:before="240" w:after="240" w:line="360" w:lineRule="auto"/>
              <w:jc w:val="right"/>
              <w:rPr>
                <w:rFonts w:eastAsia="Calibri"/>
                <w:iCs/>
                <w:sz w:val="20"/>
                <w:szCs w:val="20"/>
              </w:rPr>
            </w:pPr>
            <w:r w:rsidRPr="00536C7A">
              <w:rPr>
                <w:rFonts w:eastAsia="Calibri"/>
                <w:i/>
                <w:iCs/>
                <w:sz w:val="20"/>
                <w:szCs w:val="20"/>
              </w:rPr>
              <w:t>I</w:t>
            </w:r>
            <w:r w:rsidRPr="00536C7A">
              <w:rPr>
                <w:rFonts w:eastAsia="Calibri"/>
                <w:i/>
                <w:iCs/>
                <w:sz w:val="20"/>
                <w:szCs w:val="20"/>
                <w:vertAlign w:val="subscript"/>
              </w:rPr>
              <w:t>a</w:t>
            </w:r>
            <w:r w:rsidRPr="00536C7A">
              <w:rPr>
                <w:rFonts w:eastAsia="Calibri"/>
                <w:i/>
                <w:iCs/>
                <w:sz w:val="20"/>
                <w:szCs w:val="20"/>
              </w:rPr>
              <w:t xml:space="preserve"> </w:t>
            </w:r>
            <w:r w:rsidRPr="00536C7A">
              <w:rPr>
                <w:rFonts w:eastAsia="Calibri"/>
                <w:iCs/>
                <w:sz w:val="20"/>
                <w:szCs w:val="20"/>
              </w:rPr>
              <w:t>or</w:t>
            </w:r>
            <w:r w:rsidRPr="00536C7A">
              <w:rPr>
                <w:rFonts w:eastAsia="Calibri"/>
                <w:i/>
                <w:iCs/>
                <w:sz w:val="20"/>
                <w:szCs w:val="20"/>
              </w:rPr>
              <w:t xml:space="preserve"> I</w:t>
            </w:r>
            <w:r w:rsidRPr="00536C7A">
              <w:rPr>
                <w:rFonts w:eastAsia="Calibri"/>
                <w:i/>
                <w:iCs/>
                <w:sz w:val="20"/>
                <w:szCs w:val="20"/>
                <w:vertAlign w:val="subscript"/>
              </w:rPr>
              <w:t>aT</w:t>
            </w:r>
          </w:p>
        </w:tc>
        <w:tc>
          <w:tcPr>
            <w:tcW w:w="855" w:type="dxa"/>
          </w:tcPr>
          <w:p w:rsidR="00297712" w:rsidRPr="00536C7A" w:rsidRDefault="00297712" w:rsidP="00297712">
            <w:pPr>
              <w:spacing w:before="240" w:after="240" w:line="360" w:lineRule="auto"/>
              <w:jc w:val="right"/>
              <w:rPr>
                <w:rFonts w:eastAsia="Calibri"/>
                <w:i/>
                <w:sz w:val="20"/>
                <w:szCs w:val="20"/>
              </w:rPr>
            </w:pPr>
            <w:r w:rsidRPr="00536C7A">
              <w:rPr>
                <w:rFonts w:eastAsia="Calibri"/>
                <w:i/>
                <w:iCs/>
                <w:sz w:val="20"/>
                <w:szCs w:val="20"/>
              </w:rPr>
              <w:t>I</w:t>
            </w:r>
            <w:r w:rsidRPr="00536C7A">
              <w:rPr>
                <w:rFonts w:eastAsia="Calibri"/>
                <w:i/>
                <w:iCs/>
                <w:sz w:val="20"/>
                <w:szCs w:val="20"/>
                <w:vertAlign w:val="subscript"/>
              </w:rPr>
              <w:t>a</w:t>
            </w:r>
            <w:r w:rsidRPr="00536C7A">
              <w:rPr>
                <w:rFonts w:eastAsia="Calibri"/>
                <w:sz w:val="20"/>
                <w:szCs w:val="20"/>
                <w:vertAlign w:val="subscript"/>
              </w:rPr>
              <w:t>,max</w:t>
            </w:r>
          </w:p>
        </w:tc>
        <w:tc>
          <w:tcPr>
            <w:tcW w:w="1092" w:type="dxa"/>
          </w:tcPr>
          <w:p w:rsidR="00297712" w:rsidRPr="00536C7A" w:rsidRDefault="00297712" w:rsidP="00297712">
            <w:pPr>
              <w:spacing w:before="240" w:after="240" w:line="360" w:lineRule="auto"/>
              <w:jc w:val="right"/>
              <w:rPr>
                <w:rFonts w:eastAsia="Calibri"/>
                <w:iCs/>
                <w:sz w:val="20"/>
                <w:szCs w:val="20"/>
              </w:rPr>
            </w:pPr>
            <w:r w:rsidRPr="00536C7A">
              <w:rPr>
                <w:rFonts w:eastAsia="Calibri"/>
                <w:i/>
                <w:iCs/>
                <w:sz w:val="20"/>
                <w:szCs w:val="20"/>
              </w:rPr>
              <w:t xml:space="preserve">S </w:t>
            </w:r>
            <w:r w:rsidRPr="00536C7A">
              <w:rPr>
                <w:rFonts w:eastAsia="Calibri"/>
                <w:iCs/>
                <w:sz w:val="20"/>
                <w:szCs w:val="20"/>
              </w:rPr>
              <w:t>or</w:t>
            </w:r>
            <w:r w:rsidRPr="00536C7A">
              <w:rPr>
                <w:rFonts w:eastAsia="Calibri"/>
                <w:i/>
                <w:iCs/>
                <w:sz w:val="20"/>
                <w:szCs w:val="20"/>
              </w:rPr>
              <w:t xml:space="preserve"> S</w:t>
            </w:r>
            <w:r w:rsidRPr="00536C7A">
              <w:rPr>
                <w:rFonts w:eastAsia="Calibri"/>
                <w:iCs/>
                <w:sz w:val="20"/>
                <w:szCs w:val="20"/>
                <w:vertAlign w:val="subscript"/>
              </w:rPr>
              <w:t>∞</w:t>
            </w:r>
          </w:p>
        </w:tc>
      </w:tr>
      <w:tr w:rsidR="00297712" w:rsidRPr="00536C7A" w:rsidTr="00A077B3">
        <w:trPr>
          <w:trHeight w:hRule="exact" w:val="576"/>
          <w:jc w:val="center"/>
        </w:trPr>
        <w:tc>
          <w:tcPr>
            <w:tcW w:w="900" w:type="dxa"/>
            <w:tcBorders>
              <w:bottom w:val="nil"/>
            </w:tcBorders>
            <w:shd w:val="clear" w:color="auto" w:fill="auto"/>
          </w:tcPr>
          <w:p w:rsidR="00297712" w:rsidRPr="00536C7A" w:rsidRDefault="00297712" w:rsidP="00297712">
            <w:pPr>
              <w:spacing w:before="240" w:after="240" w:line="360" w:lineRule="auto"/>
              <w:rPr>
                <w:rFonts w:eastAsia="Calibri"/>
                <w:iCs/>
                <w:sz w:val="20"/>
                <w:szCs w:val="20"/>
              </w:rPr>
            </w:pPr>
            <w:r w:rsidRPr="00536C7A">
              <w:rPr>
                <w:rFonts w:eastAsia="Calibri"/>
                <w:iCs/>
                <w:sz w:val="20"/>
                <w:szCs w:val="20"/>
              </w:rPr>
              <w:t>CM0.2</w:t>
            </w:r>
          </w:p>
        </w:tc>
        <w:tc>
          <w:tcPr>
            <w:tcW w:w="810" w:type="dxa"/>
            <w:tcBorders>
              <w:bottom w:val="nil"/>
            </w:tcBorders>
          </w:tcPr>
          <w:p w:rsidR="00297712" w:rsidRPr="00536C7A" w:rsidRDefault="00297712" w:rsidP="00297712">
            <w:pPr>
              <w:spacing w:before="240" w:after="240" w:line="360" w:lineRule="auto"/>
              <w:jc w:val="right"/>
              <w:rPr>
                <w:rFonts w:eastAsia="Calibri"/>
                <w:iCs/>
                <w:sz w:val="20"/>
                <w:szCs w:val="20"/>
              </w:rPr>
            </w:pPr>
            <w:r>
              <w:rPr>
                <w:rFonts w:eastAsia="Calibri"/>
                <w:iCs/>
                <w:sz w:val="20"/>
                <w:szCs w:val="20"/>
              </w:rPr>
              <w:t>0.93</w:t>
            </w:r>
          </w:p>
        </w:tc>
        <w:tc>
          <w:tcPr>
            <w:tcW w:w="990"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0.91</w:t>
            </w:r>
          </w:p>
        </w:tc>
        <w:tc>
          <w:tcPr>
            <w:tcW w:w="938"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12.6</w:t>
            </w:r>
          </w:p>
        </w:tc>
        <w:tc>
          <w:tcPr>
            <w:tcW w:w="938"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-1.8</w:t>
            </w:r>
          </w:p>
        </w:tc>
        <w:tc>
          <w:tcPr>
            <w:tcW w:w="955"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-13</w:t>
            </w:r>
          </w:p>
        </w:tc>
        <w:tc>
          <w:tcPr>
            <w:tcW w:w="997"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-2.9</w:t>
            </w:r>
          </w:p>
        </w:tc>
        <w:tc>
          <w:tcPr>
            <w:tcW w:w="1022"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100</w:t>
            </w:r>
          </w:p>
        </w:tc>
        <w:tc>
          <w:tcPr>
            <w:tcW w:w="1022"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0.20</w:t>
            </w:r>
          </w:p>
        </w:tc>
        <w:tc>
          <w:tcPr>
            <w:tcW w:w="1091"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19</w:t>
            </w:r>
          </w:p>
        </w:tc>
        <w:tc>
          <w:tcPr>
            <w:tcW w:w="855"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w:t>
            </w:r>
          </w:p>
        </w:tc>
        <w:tc>
          <w:tcPr>
            <w:tcW w:w="1092"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97</w:t>
            </w:r>
          </w:p>
        </w:tc>
      </w:tr>
      <w:tr w:rsidR="00297712" w:rsidRPr="00536C7A" w:rsidTr="00A077B3">
        <w:trPr>
          <w:trHeight w:hRule="exact" w:val="576"/>
          <w:jc w:val="center"/>
        </w:trPr>
        <w:tc>
          <w:tcPr>
            <w:tcW w:w="900" w:type="dxa"/>
            <w:tcBorders>
              <w:top w:val="nil"/>
              <w:bottom w:val="nil"/>
            </w:tcBorders>
          </w:tcPr>
          <w:p w:rsidR="00297712" w:rsidRPr="00536C7A" w:rsidRDefault="00297712" w:rsidP="00297712">
            <w:pPr>
              <w:spacing w:before="240" w:after="240" w:line="360" w:lineRule="auto"/>
              <w:rPr>
                <w:rFonts w:eastAsia="Calibri"/>
                <w:iCs/>
                <w:sz w:val="20"/>
                <w:szCs w:val="20"/>
              </w:rPr>
            </w:pPr>
            <w:r w:rsidRPr="00536C7A">
              <w:rPr>
                <w:rFonts w:eastAsia="Calibri"/>
                <w:iCs/>
                <w:sz w:val="20"/>
                <w:szCs w:val="20"/>
              </w:rPr>
              <w:t>CMλ</w:t>
            </w:r>
          </w:p>
        </w:tc>
        <w:tc>
          <w:tcPr>
            <w:tcW w:w="810"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Pr>
                <w:rFonts w:eastAsia="Calibri"/>
                <w:iCs/>
                <w:sz w:val="20"/>
                <w:szCs w:val="20"/>
              </w:rPr>
              <w:t>0.94</w:t>
            </w:r>
          </w:p>
        </w:tc>
        <w:tc>
          <w:tcPr>
            <w:tcW w:w="990"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0.37</w:t>
            </w:r>
          </w:p>
        </w:tc>
        <w:tc>
          <w:tcPr>
            <w:tcW w:w="938"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5.4</w:t>
            </w:r>
          </w:p>
        </w:tc>
        <w:tc>
          <w:tcPr>
            <w:tcW w:w="938"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0.0</w:t>
            </w:r>
          </w:p>
        </w:tc>
        <w:tc>
          <w:tcPr>
            <w:tcW w:w="955"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-26</w:t>
            </w:r>
          </w:p>
        </w:tc>
        <w:tc>
          <w:tcPr>
            <w:tcW w:w="997"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-2.9</w:t>
            </w:r>
          </w:p>
        </w:tc>
        <w:tc>
          <w:tcPr>
            <w:tcW w:w="1022"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100</w:t>
            </w:r>
          </w:p>
        </w:tc>
        <w:tc>
          <w:tcPr>
            <w:tcW w:w="1022"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0.07</w:t>
            </w:r>
          </w:p>
        </w:tc>
        <w:tc>
          <w:tcPr>
            <w:tcW w:w="1091"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9</w:t>
            </w:r>
          </w:p>
        </w:tc>
        <w:tc>
          <w:tcPr>
            <w:tcW w:w="855"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w:t>
            </w:r>
          </w:p>
        </w:tc>
        <w:tc>
          <w:tcPr>
            <w:tcW w:w="1092"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132</w:t>
            </w:r>
          </w:p>
        </w:tc>
      </w:tr>
      <w:tr w:rsidR="00297712" w:rsidRPr="00536C7A" w:rsidTr="00A077B3">
        <w:trPr>
          <w:trHeight w:hRule="exact" w:val="576"/>
          <w:jc w:val="center"/>
        </w:trPr>
        <w:tc>
          <w:tcPr>
            <w:tcW w:w="900" w:type="dxa"/>
            <w:tcBorders>
              <w:top w:val="nil"/>
              <w:bottom w:val="nil"/>
            </w:tcBorders>
          </w:tcPr>
          <w:p w:rsidR="00297712" w:rsidRPr="00536C7A" w:rsidRDefault="00297712" w:rsidP="00297712">
            <w:pPr>
              <w:spacing w:before="240" w:after="240" w:line="360" w:lineRule="auto"/>
              <w:rPr>
                <w:rFonts w:eastAsia="Calibri"/>
                <w:sz w:val="20"/>
                <w:szCs w:val="20"/>
              </w:rPr>
            </w:pPr>
            <w:r w:rsidRPr="00536C7A">
              <w:rPr>
                <w:rFonts w:eastAsia="Calibri"/>
                <w:iCs/>
                <w:sz w:val="20"/>
                <w:szCs w:val="20"/>
              </w:rPr>
              <w:t>VIMS</w:t>
            </w:r>
          </w:p>
        </w:tc>
        <w:tc>
          <w:tcPr>
            <w:tcW w:w="810"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Pr>
                <w:rFonts w:eastAsia="Calibri"/>
                <w:iCs/>
                <w:sz w:val="20"/>
                <w:szCs w:val="20"/>
              </w:rPr>
              <w:t>0.97</w:t>
            </w:r>
          </w:p>
        </w:tc>
        <w:tc>
          <w:tcPr>
            <w:tcW w:w="990"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0.13</w:t>
            </w:r>
          </w:p>
        </w:tc>
        <w:tc>
          <w:tcPr>
            <w:tcW w:w="938"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2.1</w:t>
            </w:r>
          </w:p>
        </w:tc>
        <w:tc>
          <w:tcPr>
            <w:tcW w:w="938"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0.2</w:t>
            </w:r>
          </w:p>
        </w:tc>
        <w:tc>
          <w:tcPr>
            <w:tcW w:w="955"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-22</w:t>
            </w:r>
          </w:p>
        </w:tc>
        <w:tc>
          <w:tcPr>
            <w:tcW w:w="997"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-0.8</w:t>
            </w:r>
          </w:p>
        </w:tc>
        <w:tc>
          <w:tcPr>
            <w:tcW w:w="1022"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71</w:t>
            </w:r>
          </w:p>
        </w:tc>
        <w:tc>
          <w:tcPr>
            <w:tcW w:w="1022"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w:t>
            </w:r>
          </w:p>
        </w:tc>
        <w:tc>
          <w:tcPr>
            <w:tcW w:w="1091"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12</w:t>
            </w:r>
          </w:p>
        </w:tc>
        <w:tc>
          <w:tcPr>
            <w:tcW w:w="855"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64</w:t>
            </w:r>
          </w:p>
        </w:tc>
        <w:tc>
          <w:tcPr>
            <w:tcW w:w="1092"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121</w:t>
            </w:r>
          </w:p>
        </w:tc>
      </w:tr>
      <w:tr w:rsidR="00297712" w:rsidRPr="00536C7A" w:rsidTr="00A077B3">
        <w:trPr>
          <w:trHeight w:hRule="exact" w:val="576"/>
          <w:jc w:val="center"/>
        </w:trPr>
        <w:tc>
          <w:tcPr>
            <w:tcW w:w="900" w:type="dxa"/>
            <w:tcBorders>
              <w:top w:val="nil"/>
            </w:tcBorders>
          </w:tcPr>
          <w:p w:rsidR="00297712" w:rsidRPr="00536C7A" w:rsidRDefault="00297712" w:rsidP="00297712">
            <w:pPr>
              <w:spacing w:before="240" w:after="240" w:line="360" w:lineRule="auto"/>
              <w:rPr>
                <w:rFonts w:eastAsia="Calibri"/>
                <w:iCs/>
                <w:sz w:val="20"/>
                <w:szCs w:val="20"/>
              </w:rPr>
            </w:pPr>
            <w:r w:rsidRPr="00536C7A">
              <w:rPr>
                <w:rFonts w:eastAsia="Calibri"/>
                <w:iCs/>
                <w:sz w:val="20"/>
                <w:szCs w:val="20"/>
              </w:rPr>
              <w:t>VIMλ</w:t>
            </w:r>
          </w:p>
        </w:tc>
        <w:tc>
          <w:tcPr>
            <w:tcW w:w="810" w:type="dxa"/>
            <w:tcBorders>
              <w:top w:val="nil"/>
            </w:tcBorders>
          </w:tcPr>
          <w:p w:rsidR="00297712" w:rsidRPr="00536C7A" w:rsidRDefault="00297712" w:rsidP="00297712">
            <w:pPr>
              <w:spacing w:before="240" w:after="240" w:line="360" w:lineRule="auto"/>
              <w:jc w:val="right"/>
              <w:rPr>
                <w:rFonts w:eastAsia="Calibri"/>
                <w:iCs/>
                <w:sz w:val="20"/>
                <w:szCs w:val="20"/>
              </w:rPr>
            </w:pPr>
            <w:r>
              <w:rPr>
                <w:rFonts w:eastAsia="Calibri"/>
                <w:iCs/>
                <w:sz w:val="20"/>
                <w:szCs w:val="20"/>
              </w:rPr>
              <w:t>1.00</w:t>
            </w:r>
          </w:p>
        </w:tc>
        <w:tc>
          <w:tcPr>
            <w:tcW w:w="990"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0.06</w:t>
            </w:r>
          </w:p>
        </w:tc>
        <w:tc>
          <w:tcPr>
            <w:tcW w:w="938"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0.2</w:t>
            </w:r>
          </w:p>
        </w:tc>
        <w:tc>
          <w:tcPr>
            <w:tcW w:w="938"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0.4</w:t>
            </w:r>
          </w:p>
        </w:tc>
        <w:tc>
          <w:tcPr>
            <w:tcW w:w="955"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-3</w:t>
            </w:r>
          </w:p>
        </w:tc>
        <w:tc>
          <w:tcPr>
            <w:tcW w:w="997"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0.9</w:t>
            </w:r>
          </w:p>
        </w:tc>
        <w:tc>
          <w:tcPr>
            <w:tcW w:w="1022"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16</w:t>
            </w:r>
          </w:p>
        </w:tc>
        <w:tc>
          <w:tcPr>
            <w:tcW w:w="1022"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0.09</w:t>
            </w:r>
          </w:p>
        </w:tc>
        <w:tc>
          <w:tcPr>
            <w:tcW w:w="1091"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11</w:t>
            </w:r>
          </w:p>
        </w:tc>
        <w:tc>
          <w:tcPr>
            <w:tcW w:w="855"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43</w:t>
            </w:r>
          </w:p>
        </w:tc>
        <w:tc>
          <w:tcPr>
            <w:tcW w:w="1092"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124</w:t>
            </w:r>
          </w:p>
        </w:tc>
      </w:tr>
      <w:tr w:rsidR="00297712" w:rsidRPr="00536C7A" w:rsidTr="00A077B3">
        <w:trPr>
          <w:trHeight w:hRule="exact" w:val="576"/>
          <w:jc w:val="center"/>
        </w:trPr>
        <w:tc>
          <w:tcPr>
            <w:tcW w:w="900" w:type="dxa"/>
            <w:vMerge w:val="restart"/>
            <w:vAlign w:val="center"/>
          </w:tcPr>
          <w:p w:rsidR="00297712" w:rsidRDefault="00297712" w:rsidP="00297712">
            <w:pPr>
              <w:rPr>
                <w:rFonts w:eastAsia="Calibri"/>
                <w:iCs/>
                <w:sz w:val="20"/>
                <w:szCs w:val="20"/>
              </w:rPr>
            </w:pPr>
            <w:r w:rsidRPr="00536C7A">
              <w:rPr>
                <w:rFonts w:eastAsia="Calibri"/>
                <w:iCs/>
                <w:sz w:val="20"/>
                <w:szCs w:val="20"/>
              </w:rPr>
              <w:t>Lumped</w:t>
            </w:r>
          </w:p>
          <w:p w:rsidR="00297712" w:rsidRPr="00536C7A" w:rsidRDefault="00297712" w:rsidP="00297712">
            <w:pPr>
              <w:rPr>
                <w:rFonts w:eastAsia="Calibri"/>
                <w:iCs/>
                <w:sz w:val="20"/>
                <w:szCs w:val="20"/>
              </w:rPr>
            </w:pPr>
            <w:r w:rsidRPr="00536C7A">
              <w:rPr>
                <w:rFonts w:eastAsia="Calibri"/>
                <w:iCs/>
                <w:sz w:val="20"/>
                <w:szCs w:val="20"/>
              </w:rPr>
              <w:t>Model</w:t>
            </w:r>
          </w:p>
        </w:tc>
        <w:tc>
          <w:tcPr>
            <w:tcW w:w="810" w:type="dxa"/>
          </w:tcPr>
          <w:p w:rsidR="00297712" w:rsidRPr="00536C7A" w:rsidRDefault="00297712" w:rsidP="00297712">
            <w:pPr>
              <w:spacing w:before="240" w:line="360" w:lineRule="auto"/>
              <w:jc w:val="center"/>
              <w:rPr>
                <w:rFonts w:eastAsia="Calibri"/>
                <w:iCs/>
                <w:sz w:val="20"/>
                <w:szCs w:val="20"/>
              </w:rPr>
            </w:pPr>
          </w:p>
        </w:tc>
        <w:tc>
          <w:tcPr>
            <w:tcW w:w="9900" w:type="dxa"/>
            <w:gridSpan w:val="10"/>
          </w:tcPr>
          <w:p w:rsidR="00297712" w:rsidRPr="00536C7A" w:rsidRDefault="00297712" w:rsidP="00297712">
            <w:pPr>
              <w:spacing w:before="240" w:line="360" w:lineRule="auto"/>
              <w:jc w:val="center"/>
              <w:rPr>
                <w:rFonts w:eastAsia="Calibri"/>
                <w:iCs/>
                <w:sz w:val="20"/>
                <w:szCs w:val="20"/>
              </w:rPr>
            </w:pPr>
            <w:r w:rsidRPr="00536C7A">
              <w:rPr>
                <w:rFonts w:eastAsia="Calibri"/>
                <w:iCs/>
                <w:sz w:val="20"/>
                <w:szCs w:val="20"/>
              </w:rPr>
              <w:t xml:space="preserve">Distributed Model: </w:t>
            </w:r>
            <w:r w:rsidRPr="00536C7A">
              <w:rPr>
                <w:rFonts w:eastAsia="Calibri"/>
                <w:i/>
                <w:iCs/>
                <w:sz w:val="20"/>
                <w:szCs w:val="20"/>
              </w:rPr>
              <w:t>λ</w:t>
            </w:r>
            <w:r w:rsidRPr="00536C7A">
              <w:rPr>
                <w:rFonts w:eastAsia="Calibri"/>
                <w:i/>
                <w:iCs/>
                <w:sz w:val="20"/>
                <w:szCs w:val="20"/>
                <w:vertAlign w:val="subscript"/>
              </w:rPr>
              <w:t>i</w:t>
            </w:r>
            <w:r w:rsidRPr="00536C7A">
              <w:rPr>
                <w:rFonts w:eastAsia="Calibri"/>
                <w:sz w:val="20"/>
                <w:szCs w:val="20"/>
                <w:lang w:bidi="te-IN"/>
              </w:rPr>
              <w:t xml:space="preserve"> </w:t>
            </w:r>
            <w:r w:rsidRPr="00536C7A">
              <w:rPr>
                <w:rFonts w:eastAsia="Calibri"/>
                <w:iCs/>
                <w:sz w:val="20"/>
                <w:szCs w:val="20"/>
              </w:rPr>
              <w:t xml:space="preserve">= 0.5, </w:t>
            </w:r>
            <w:r w:rsidRPr="00536C7A">
              <w:rPr>
                <w:rFonts w:eastAsia="Calibri"/>
                <w:i/>
                <w:iCs/>
                <w:sz w:val="20"/>
                <w:szCs w:val="20"/>
              </w:rPr>
              <w:t>I</w:t>
            </w:r>
            <w:r w:rsidRPr="00536C7A">
              <w:rPr>
                <w:rFonts w:eastAsia="Calibri"/>
                <w:i/>
                <w:iCs/>
                <w:sz w:val="20"/>
                <w:szCs w:val="20"/>
                <w:vertAlign w:val="subscript"/>
              </w:rPr>
              <w:t>aT</w:t>
            </w:r>
            <w:r w:rsidRPr="00536C7A">
              <w:rPr>
                <w:rFonts w:eastAsia="Calibri"/>
                <w:iCs/>
                <w:sz w:val="20"/>
                <w:szCs w:val="20"/>
              </w:rPr>
              <w:t xml:space="preserve"> = 56, </w:t>
            </w:r>
            <w:r w:rsidRPr="00536C7A">
              <w:rPr>
                <w:rFonts w:eastAsia="Calibri"/>
                <w:i/>
                <w:iCs/>
                <w:sz w:val="20"/>
                <w:szCs w:val="20"/>
              </w:rPr>
              <w:t>I</w:t>
            </w:r>
            <w:r w:rsidRPr="00536C7A">
              <w:rPr>
                <w:rFonts w:eastAsia="Calibri"/>
                <w:i/>
                <w:iCs/>
                <w:sz w:val="20"/>
                <w:szCs w:val="20"/>
                <w:vertAlign w:val="subscript"/>
              </w:rPr>
              <w:t>a</w:t>
            </w:r>
            <w:r w:rsidRPr="00536C7A">
              <w:rPr>
                <w:rFonts w:eastAsia="Calibri"/>
                <w:sz w:val="20"/>
                <w:szCs w:val="20"/>
                <w:vertAlign w:val="subscript"/>
              </w:rPr>
              <w:t>,max</w:t>
            </w:r>
            <w:r w:rsidRPr="00536C7A">
              <w:rPr>
                <w:rFonts w:eastAsia="Calibri"/>
                <w:iCs/>
                <w:sz w:val="20"/>
                <w:szCs w:val="20"/>
              </w:rPr>
              <w:t xml:space="preserve"> = 100, </w:t>
            </w:r>
            <w:r w:rsidRPr="00536C7A">
              <w:rPr>
                <w:rFonts w:eastAsia="Calibri"/>
                <w:i/>
                <w:iCs/>
                <w:sz w:val="20"/>
                <w:szCs w:val="20"/>
              </w:rPr>
              <w:t>S</w:t>
            </w:r>
            <w:r w:rsidRPr="00536C7A">
              <w:rPr>
                <w:rFonts w:eastAsia="Calibri"/>
                <w:iCs/>
                <w:sz w:val="20"/>
                <w:szCs w:val="20"/>
                <w:vertAlign w:val="subscript"/>
              </w:rPr>
              <w:t>∞</w:t>
            </w:r>
            <w:r w:rsidRPr="00536C7A">
              <w:rPr>
                <w:rFonts w:eastAsia="Calibri"/>
                <w:sz w:val="20"/>
                <w:szCs w:val="20"/>
                <w:lang w:bidi="te-IN"/>
              </w:rPr>
              <w:t xml:space="preserve"> </w:t>
            </w:r>
            <w:r w:rsidRPr="00536C7A">
              <w:rPr>
                <w:rFonts w:eastAsia="Calibri"/>
                <w:iCs/>
                <w:sz w:val="20"/>
                <w:szCs w:val="20"/>
              </w:rPr>
              <w:t>= 112</w:t>
            </w:r>
          </w:p>
        </w:tc>
      </w:tr>
      <w:tr w:rsidR="00297712" w:rsidRPr="00536C7A" w:rsidTr="00A077B3">
        <w:trPr>
          <w:trHeight w:hRule="exact" w:val="576"/>
          <w:jc w:val="center"/>
        </w:trPr>
        <w:tc>
          <w:tcPr>
            <w:tcW w:w="900" w:type="dxa"/>
            <w:vMerge/>
          </w:tcPr>
          <w:p w:rsidR="00297712" w:rsidRPr="00536C7A" w:rsidRDefault="00297712" w:rsidP="00297712">
            <w:pPr>
              <w:spacing w:before="240" w:line="360" w:lineRule="auto"/>
              <w:rPr>
                <w:rFonts w:eastAsia="Calibri"/>
                <w:iCs/>
                <w:sz w:val="20"/>
                <w:szCs w:val="20"/>
              </w:rPr>
            </w:pPr>
          </w:p>
        </w:tc>
        <w:tc>
          <w:tcPr>
            <w:tcW w:w="810" w:type="dxa"/>
          </w:tcPr>
          <w:p w:rsidR="00297712" w:rsidRPr="00536C7A" w:rsidRDefault="00297712" w:rsidP="00297712">
            <w:pPr>
              <w:spacing w:before="240" w:after="240" w:line="360" w:lineRule="auto"/>
              <w:jc w:val="right"/>
              <w:rPr>
                <w:rFonts w:eastAsia="Calibri"/>
                <w:sz w:val="20"/>
                <w:szCs w:val="20"/>
              </w:rPr>
            </w:pPr>
            <w:r>
              <w:rPr>
                <w:rFonts w:eastAsia="Calibri"/>
                <w:sz w:val="20"/>
                <w:szCs w:val="20"/>
              </w:rPr>
              <w:t>rNS</w:t>
            </w:r>
            <w:r w:rsidRPr="00536C7A">
              <w:rPr>
                <w:rFonts w:eastAsia="Calibri"/>
                <w:sz w:val="20"/>
                <w:szCs w:val="20"/>
              </w:rPr>
              <w:t>E</w:t>
            </w:r>
            <w:r w:rsidRPr="00536C7A">
              <w:rPr>
                <w:rFonts w:eastAsia="Calibri"/>
                <w:i/>
                <w:sz w:val="20"/>
                <w:szCs w:val="20"/>
                <w:vertAlign w:val="subscript"/>
              </w:rPr>
              <w:t>Q</w:t>
            </w:r>
          </w:p>
        </w:tc>
        <w:tc>
          <w:tcPr>
            <w:tcW w:w="990" w:type="dxa"/>
          </w:tcPr>
          <w:p w:rsidR="00297712" w:rsidRPr="00536C7A" w:rsidRDefault="00297712" w:rsidP="00297712">
            <w:pPr>
              <w:spacing w:before="240" w:after="240" w:line="360" w:lineRule="auto"/>
              <w:jc w:val="right"/>
              <w:rPr>
                <w:rFonts w:eastAsia="Calibri"/>
                <w:i/>
                <w:sz w:val="20"/>
                <w:szCs w:val="20"/>
                <w:vertAlign w:val="subscript"/>
              </w:rPr>
            </w:pPr>
            <w:r w:rsidRPr="00536C7A">
              <w:rPr>
                <w:rFonts w:eastAsia="Calibri"/>
                <w:sz w:val="20"/>
                <w:szCs w:val="20"/>
              </w:rPr>
              <w:t>SEE</w:t>
            </w:r>
            <w:r w:rsidRPr="00536C7A">
              <w:rPr>
                <w:rFonts w:eastAsia="Calibri"/>
                <w:i/>
                <w:sz w:val="20"/>
                <w:szCs w:val="20"/>
                <w:vertAlign w:val="subscript"/>
              </w:rPr>
              <w:t>Q</w:t>
            </w:r>
          </w:p>
        </w:tc>
        <w:tc>
          <w:tcPr>
            <w:tcW w:w="938" w:type="dxa"/>
          </w:tcPr>
          <w:p w:rsidR="00297712" w:rsidRPr="00536C7A" w:rsidRDefault="00297712" w:rsidP="00297712">
            <w:pPr>
              <w:spacing w:before="240" w:after="240" w:line="360" w:lineRule="auto"/>
              <w:jc w:val="right"/>
              <w:rPr>
                <w:rFonts w:eastAsia="Calibri"/>
                <w:i/>
                <w:iCs/>
                <w:sz w:val="20"/>
                <w:szCs w:val="20"/>
                <w:vertAlign w:val="subscript"/>
              </w:rPr>
            </w:pPr>
            <w:r w:rsidRPr="00536C7A">
              <w:rPr>
                <w:rFonts w:eastAsia="Calibri"/>
                <w:sz w:val="20"/>
                <w:szCs w:val="20"/>
              </w:rPr>
              <w:t>PB</w:t>
            </w:r>
            <w:r w:rsidRPr="00536C7A">
              <w:rPr>
                <w:rFonts w:eastAsia="Calibri"/>
                <w:i/>
                <w:sz w:val="20"/>
                <w:szCs w:val="20"/>
                <w:vertAlign w:val="subscript"/>
              </w:rPr>
              <w:t>Q</w:t>
            </w:r>
          </w:p>
        </w:tc>
        <w:tc>
          <w:tcPr>
            <w:tcW w:w="938" w:type="dxa"/>
          </w:tcPr>
          <w:p w:rsidR="00297712" w:rsidRPr="00536C7A" w:rsidRDefault="00297712" w:rsidP="00297712">
            <w:pPr>
              <w:spacing w:before="240" w:after="240" w:line="360" w:lineRule="auto"/>
              <w:jc w:val="right"/>
              <w:rPr>
                <w:rFonts w:eastAsia="Calibri"/>
                <w:iCs/>
                <w:sz w:val="20"/>
                <w:szCs w:val="20"/>
              </w:rPr>
            </w:pPr>
            <w:r w:rsidRPr="00536C7A">
              <w:rPr>
                <w:rFonts w:eastAsia="Calibri"/>
                <w:sz w:val="20"/>
                <w:szCs w:val="20"/>
              </w:rPr>
              <w:t>NSE</w:t>
            </w:r>
            <w:r w:rsidRPr="00536C7A">
              <w:rPr>
                <w:rFonts w:eastAsia="Calibri"/>
                <w:i/>
                <w:sz w:val="20"/>
                <w:szCs w:val="20"/>
                <w:vertAlign w:val="subscript"/>
              </w:rPr>
              <w:t>Ia</w:t>
            </w:r>
          </w:p>
        </w:tc>
        <w:tc>
          <w:tcPr>
            <w:tcW w:w="955" w:type="dxa"/>
          </w:tcPr>
          <w:p w:rsidR="00297712" w:rsidRPr="00536C7A" w:rsidRDefault="00297712" w:rsidP="00297712">
            <w:pPr>
              <w:spacing w:before="240" w:after="240" w:line="360" w:lineRule="auto"/>
              <w:jc w:val="right"/>
              <w:rPr>
                <w:rFonts w:eastAsia="Calibri"/>
                <w:iCs/>
                <w:sz w:val="20"/>
                <w:szCs w:val="20"/>
              </w:rPr>
            </w:pPr>
            <w:r w:rsidRPr="00536C7A">
              <w:rPr>
                <w:rFonts w:eastAsia="Calibri"/>
                <w:sz w:val="20"/>
                <w:szCs w:val="20"/>
              </w:rPr>
              <w:t>NSE</w:t>
            </w:r>
            <w:r w:rsidRPr="00536C7A">
              <w:rPr>
                <w:rFonts w:eastAsia="Calibri"/>
                <w:i/>
                <w:sz w:val="20"/>
                <w:szCs w:val="20"/>
                <w:vertAlign w:val="subscript"/>
              </w:rPr>
              <w:t>S</w:t>
            </w:r>
          </w:p>
        </w:tc>
        <w:tc>
          <w:tcPr>
            <w:tcW w:w="997" w:type="dxa"/>
          </w:tcPr>
          <w:p w:rsidR="00297712" w:rsidRPr="00536C7A" w:rsidRDefault="00297712" w:rsidP="00297712">
            <w:pPr>
              <w:spacing w:before="240" w:after="240" w:line="360" w:lineRule="auto"/>
              <w:jc w:val="right"/>
              <w:rPr>
                <w:rFonts w:eastAsia="Calibri"/>
                <w:iCs/>
                <w:sz w:val="20"/>
                <w:szCs w:val="20"/>
              </w:rPr>
            </w:pPr>
            <w:r w:rsidRPr="00536C7A">
              <w:rPr>
                <w:rFonts w:eastAsia="Calibri"/>
                <w:sz w:val="20"/>
                <w:szCs w:val="20"/>
              </w:rPr>
              <w:t>NSE</w:t>
            </w:r>
            <w:r w:rsidRPr="00536C7A">
              <w:rPr>
                <w:rFonts w:eastAsia="Calibri"/>
                <w:i/>
                <w:sz w:val="20"/>
                <w:szCs w:val="20"/>
                <w:vertAlign w:val="subscript"/>
              </w:rPr>
              <w:t>Q</w:t>
            </w:r>
            <w:r w:rsidRPr="00536C7A">
              <w:rPr>
                <w:rFonts w:eastAsia="Calibri"/>
                <w:sz w:val="20"/>
                <w:szCs w:val="20"/>
                <w:vertAlign w:val="subscript"/>
              </w:rPr>
              <w:t>50</w:t>
            </w:r>
          </w:p>
        </w:tc>
        <w:tc>
          <w:tcPr>
            <w:tcW w:w="1022" w:type="dxa"/>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PB</w:t>
            </w:r>
            <w:r w:rsidRPr="00536C7A">
              <w:rPr>
                <w:rFonts w:eastAsia="Calibri"/>
                <w:i/>
                <w:sz w:val="20"/>
                <w:szCs w:val="20"/>
                <w:vertAlign w:val="subscript"/>
              </w:rPr>
              <w:t>Q</w:t>
            </w:r>
            <w:r w:rsidRPr="00536C7A">
              <w:rPr>
                <w:rFonts w:eastAsia="Calibri"/>
                <w:sz w:val="20"/>
                <w:szCs w:val="20"/>
                <w:vertAlign w:val="subscript"/>
              </w:rPr>
              <w:t>50</w:t>
            </w:r>
          </w:p>
        </w:tc>
        <w:tc>
          <w:tcPr>
            <w:tcW w:w="1022" w:type="dxa"/>
          </w:tcPr>
          <w:p w:rsidR="00297712" w:rsidRPr="00536C7A" w:rsidRDefault="00297712" w:rsidP="00297712">
            <w:pPr>
              <w:spacing w:before="240" w:after="240" w:line="360" w:lineRule="auto"/>
              <w:jc w:val="right"/>
              <w:rPr>
                <w:rFonts w:eastAsia="Calibri"/>
                <w:sz w:val="20"/>
                <w:szCs w:val="20"/>
              </w:rPr>
            </w:pPr>
            <w:r w:rsidRPr="00536C7A">
              <w:rPr>
                <w:rFonts w:eastAsia="Calibri"/>
                <w:i/>
                <w:iCs/>
                <w:sz w:val="20"/>
                <w:szCs w:val="20"/>
              </w:rPr>
              <w:t>λ</w:t>
            </w:r>
            <w:r w:rsidRPr="00536C7A">
              <w:rPr>
                <w:rFonts w:eastAsia="Calibri"/>
                <w:i/>
                <w:iCs/>
                <w:sz w:val="20"/>
                <w:szCs w:val="20"/>
                <w:vertAlign w:val="subscript"/>
              </w:rPr>
              <w:t>W</w:t>
            </w:r>
          </w:p>
        </w:tc>
        <w:tc>
          <w:tcPr>
            <w:tcW w:w="1091" w:type="dxa"/>
          </w:tcPr>
          <w:p w:rsidR="00297712" w:rsidRPr="00536C7A" w:rsidRDefault="00297712" w:rsidP="00297712">
            <w:pPr>
              <w:spacing w:before="240" w:after="240" w:line="360" w:lineRule="auto"/>
              <w:jc w:val="right"/>
              <w:rPr>
                <w:rFonts w:eastAsia="Calibri"/>
                <w:iCs/>
                <w:sz w:val="20"/>
                <w:szCs w:val="20"/>
              </w:rPr>
            </w:pPr>
            <w:r w:rsidRPr="00536C7A">
              <w:rPr>
                <w:rFonts w:eastAsia="Calibri"/>
                <w:i/>
                <w:iCs/>
                <w:sz w:val="20"/>
                <w:szCs w:val="20"/>
              </w:rPr>
              <w:t>I</w:t>
            </w:r>
            <w:r w:rsidRPr="00536C7A">
              <w:rPr>
                <w:rFonts w:eastAsia="Calibri"/>
                <w:i/>
                <w:iCs/>
                <w:sz w:val="20"/>
                <w:szCs w:val="20"/>
                <w:vertAlign w:val="subscript"/>
              </w:rPr>
              <w:t>a</w:t>
            </w:r>
            <w:r w:rsidRPr="00536C7A">
              <w:rPr>
                <w:rFonts w:eastAsia="Calibri"/>
                <w:i/>
                <w:iCs/>
                <w:sz w:val="20"/>
                <w:szCs w:val="20"/>
              </w:rPr>
              <w:t xml:space="preserve"> </w:t>
            </w:r>
            <w:r w:rsidRPr="00536C7A">
              <w:rPr>
                <w:rFonts w:eastAsia="Calibri"/>
                <w:iCs/>
                <w:sz w:val="20"/>
                <w:szCs w:val="20"/>
              </w:rPr>
              <w:t>or</w:t>
            </w:r>
            <w:r w:rsidRPr="00536C7A">
              <w:rPr>
                <w:rFonts w:eastAsia="Calibri"/>
                <w:i/>
                <w:iCs/>
                <w:sz w:val="20"/>
                <w:szCs w:val="20"/>
              </w:rPr>
              <w:t xml:space="preserve"> I</w:t>
            </w:r>
            <w:r w:rsidRPr="00536C7A">
              <w:rPr>
                <w:rFonts w:eastAsia="Calibri"/>
                <w:i/>
                <w:iCs/>
                <w:sz w:val="20"/>
                <w:szCs w:val="20"/>
                <w:vertAlign w:val="subscript"/>
              </w:rPr>
              <w:t>aT</w:t>
            </w:r>
          </w:p>
        </w:tc>
        <w:tc>
          <w:tcPr>
            <w:tcW w:w="855" w:type="dxa"/>
          </w:tcPr>
          <w:p w:rsidR="00297712" w:rsidRPr="00536C7A" w:rsidRDefault="00297712" w:rsidP="00297712">
            <w:pPr>
              <w:spacing w:before="240" w:after="240" w:line="360" w:lineRule="auto"/>
              <w:jc w:val="right"/>
              <w:rPr>
                <w:rFonts w:eastAsia="Calibri"/>
                <w:i/>
                <w:sz w:val="20"/>
                <w:szCs w:val="20"/>
              </w:rPr>
            </w:pPr>
            <w:r w:rsidRPr="00536C7A">
              <w:rPr>
                <w:rFonts w:eastAsia="Calibri"/>
                <w:i/>
                <w:iCs/>
                <w:sz w:val="20"/>
                <w:szCs w:val="20"/>
              </w:rPr>
              <w:t>I</w:t>
            </w:r>
            <w:r w:rsidRPr="00536C7A">
              <w:rPr>
                <w:rFonts w:eastAsia="Calibri"/>
                <w:i/>
                <w:iCs/>
                <w:sz w:val="20"/>
                <w:szCs w:val="20"/>
                <w:vertAlign w:val="subscript"/>
              </w:rPr>
              <w:t>a</w:t>
            </w:r>
            <w:r w:rsidRPr="00536C7A">
              <w:rPr>
                <w:rFonts w:eastAsia="Calibri"/>
                <w:sz w:val="20"/>
                <w:szCs w:val="20"/>
                <w:vertAlign w:val="subscript"/>
              </w:rPr>
              <w:t>,max</w:t>
            </w:r>
          </w:p>
        </w:tc>
        <w:tc>
          <w:tcPr>
            <w:tcW w:w="1092" w:type="dxa"/>
          </w:tcPr>
          <w:p w:rsidR="00297712" w:rsidRPr="00536C7A" w:rsidRDefault="00297712" w:rsidP="00297712">
            <w:pPr>
              <w:spacing w:before="240" w:after="240" w:line="360" w:lineRule="auto"/>
              <w:jc w:val="right"/>
              <w:rPr>
                <w:rFonts w:eastAsia="Calibri"/>
                <w:iCs/>
                <w:sz w:val="20"/>
                <w:szCs w:val="20"/>
              </w:rPr>
            </w:pPr>
            <w:r w:rsidRPr="00536C7A">
              <w:rPr>
                <w:rFonts w:eastAsia="Calibri"/>
                <w:i/>
                <w:iCs/>
                <w:sz w:val="20"/>
                <w:szCs w:val="20"/>
              </w:rPr>
              <w:t xml:space="preserve">S </w:t>
            </w:r>
            <w:r w:rsidRPr="00536C7A">
              <w:rPr>
                <w:rFonts w:eastAsia="Calibri"/>
                <w:iCs/>
                <w:sz w:val="20"/>
                <w:szCs w:val="20"/>
              </w:rPr>
              <w:t>or</w:t>
            </w:r>
            <w:r w:rsidRPr="00536C7A">
              <w:rPr>
                <w:rFonts w:eastAsia="Calibri"/>
                <w:i/>
                <w:iCs/>
                <w:sz w:val="20"/>
                <w:szCs w:val="20"/>
              </w:rPr>
              <w:t xml:space="preserve"> S</w:t>
            </w:r>
            <w:r w:rsidRPr="00536C7A">
              <w:rPr>
                <w:rFonts w:eastAsia="Calibri"/>
                <w:iCs/>
                <w:sz w:val="20"/>
                <w:szCs w:val="20"/>
                <w:vertAlign w:val="subscript"/>
              </w:rPr>
              <w:t>∞</w:t>
            </w:r>
          </w:p>
        </w:tc>
      </w:tr>
      <w:tr w:rsidR="00297712" w:rsidRPr="00536C7A" w:rsidTr="00A077B3">
        <w:trPr>
          <w:trHeight w:hRule="exact" w:val="576"/>
          <w:jc w:val="center"/>
        </w:trPr>
        <w:tc>
          <w:tcPr>
            <w:tcW w:w="900" w:type="dxa"/>
            <w:tcBorders>
              <w:bottom w:val="nil"/>
            </w:tcBorders>
          </w:tcPr>
          <w:p w:rsidR="00297712" w:rsidRPr="00536C7A" w:rsidRDefault="00297712" w:rsidP="00297712">
            <w:pPr>
              <w:spacing w:before="240" w:line="360" w:lineRule="auto"/>
              <w:rPr>
                <w:rFonts w:eastAsia="Calibri"/>
                <w:iCs/>
                <w:sz w:val="20"/>
                <w:szCs w:val="20"/>
              </w:rPr>
            </w:pPr>
            <w:r w:rsidRPr="00536C7A">
              <w:rPr>
                <w:rFonts w:eastAsia="Calibri"/>
                <w:iCs/>
                <w:sz w:val="20"/>
                <w:szCs w:val="20"/>
              </w:rPr>
              <w:t>CM0.2</w:t>
            </w:r>
          </w:p>
        </w:tc>
        <w:tc>
          <w:tcPr>
            <w:tcW w:w="810" w:type="dxa"/>
            <w:tcBorders>
              <w:bottom w:val="nil"/>
            </w:tcBorders>
          </w:tcPr>
          <w:p w:rsidR="00297712" w:rsidRPr="00536C7A" w:rsidRDefault="00297712" w:rsidP="00297712">
            <w:pPr>
              <w:spacing w:before="240" w:after="240" w:line="360" w:lineRule="auto"/>
              <w:jc w:val="right"/>
              <w:rPr>
                <w:rFonts w:eastAsia="Calibri"/>
                <w:iCs/>
                <w:sz w:val="20"/>
                <w:szCs w:val="20"/>
              </w:rPr>
            </w:pPr>
            <w:r>
              <w:rPr>
                <w:rFonts w:eastAsia="Calibri"/>
                <w:iCs/>
                <w:sz w:val="20"/>
                <w:szCs w:val="20"/>
              </w:rPr>
              <w:t>0.93</w:t>
            </w:r>
          </w:p>
        </w:tc>
        <w:tc>
          <w:tcPr>
            <w:tcW w:w="990"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0.81</w:t>
            </w:r>
          </w:p>
        </w:tc>
        <w:tc>
          <w:tcPr>
            <w:tcW w:w="938"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18.8</w:t>
            </w:r>
          </w:p>
        </w:tc>
        <w:tc>
          <w:tcPr>
            <w:tcW w:w="938"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-1.4</w:t>
            </w:r>
          </w:p>
        </w:tc>
        <w:tc>
          <w:tcPr>
            <w:tcW w:w="955"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-102</w:t>
            </w:r>
          </w:p>
        </w:tc>
        <w:tc>
          <w:tcPr>
            <w:tcW w:w="997"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-2.9</w:t>
            </w:r>
          </w:p>
        </w:tc>
        <w:tc>
          <w:tcPr>
            <w:tcW w:w="1022"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100</w:t>
            </w:r>
          </w:p>
        </w:tc>
        <w:tc>
          <w:tcPr>
            <w:tcW w:w="1022"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0.20</w:t>
            </w:r>
          </w:p>
        </w:tc>
        <w:tc>
          <w:tcPr>
            <w:tcW w:w="1091"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31</w:t>
            </w:r>
          </w:p>
        </w:tc>
        <w:tc>
          <w:tcPr>
            <w:tcW w:w="855"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w:t>
            </w:r>
          </w:p>
        </w:tc>
        <w:tc>
          <w:tcPr>
            <w:tcW w:w="1092" w:type="dxa"/>
            <w:tcBorders>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155</w:t>
            </w:r>
          </w:p>
        </w:tc>
      </w:tr>
      <w:tr w:rsidR="00297712" w:rsidRPr="00536C7A" w:rsidTr="00A077B3">
        <w:trPr>
          <w:trHeight w:hRule="exact" w:val="576"/>
          <w:jc w:val="center"/>
        </w:trPr>
        <w:tc>
          <w:tcPr>
            <w:tcW w:w="900" w:type="dxa"/>
            <w:tcBorders>
              <w:top w:val="nil"/>
              <w:bottom w:val="nil"/>
            </w:tcBorders>
          </w:tcPr>
          <w:p w:rsidR="00297712" w:rsidRPr="00536C7A" w:rsidRDefault="00297712" w:rsidP="00297712">
            <w:pPr>
              <w:spacing w:before="240" w:after="240" w:line="360" w:lineRule="auto"/>
              <w:rPr>
                <w:rFonts w:eastAsia="Calibri"/>
                <w:iCs/>
                <w:sz w:val="20"/>
                <w:szCs w:val="20"/>
              </w:rPr>
            </w:pPr>
            <w:r w:rsidRPr="00536C7A">
              <w:rPr>
                <w:rFonts w:eastAsia="Calibri"/>
                <w:iCs/>
                <w:sz w:val="20"/>
                <w:szCs w:val="20"/>
              </w:rPr>
              <w:t>CMλ</w:t>
            </w:r>
          </w:p>
        </w:tc>
        <w:tc>
          <w:tcPr>
            <w:tcW w:w="810"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Pr>
                <w:rFonts w:eastAsia="Calibri"/>
                <w:iCs/>
                <w:sz w:val="20"/>
                <w:szCs w:val="20"/>
              </w:rPr>
              <w:t>0.94</w:t>
            </w:r>
          </w:p>
        </w:tc>
        <w:tc>
          <w:tcPr>
            <w:tcW w:w="990"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0.66</w:t>
            </w:r>
          </w:p>
        </w:tc>
        <w:tc>
          <w:tcPr>
            <w:tcW w:w="938"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13.6</w:t>
            </w:r>
          </w:p>
        </w:tc>
        <w:tc>
          <w:tcPr>
            <w:tcW w:w="938"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-0.3</w:t>
            </w:r>
          </w:p>
        </w:tc>
        <w:tc>
          <w:tcPr>
            <w:tcW w:w="955"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-166</w:t>
            </w:r>
          </w:p>
        </w:tc>
        <w:tc>
          <w:tcPr>
            <w:tcW w:w="997"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-2.9</w:t>
            </w:r>
          </w:p>
        </w:tc>
        <w:tc>
          <w:tcPr>
            <w:tcW w:w="1022"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100</w:t>
            </w:r>
          </w:p>
        </w:tc>
        <w:tc>
          <w:tcPr>
            <w:tcW w:w="1022"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0.11</w:t>
            </w:r>
          </w:p>
        </w:tc>
        <w:tc>
          <w:tcPr>
            <w:tcW w:w="1091"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21</w:t>
            </w:r>
          </w:p>
        </w:tc>
        <w:tc>
          <w:tcPr>
            <w:tcW w:w="855"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w:t>
            </w:r>
          </w:p>
        </w:tc>
        <w:tc>
          <w:tcPr>
            <w:tcW w:w="1092"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197</w:t>
            </w:r>
          </w:p>
        </w:tc>
      </w:tr>
      <w:tr w:rsidR="00297712" w:rsidRPr="00536C7A" w:rsidTr="00A077B3">
        <w:trPr>
          <w:trHeight w:hRule="exact" w:val="640"/>
          <w:jc w:val="center"/>
        </w:trPr>
        <w:tc>
          <w:tcPr>
            <w:tcW w:w="900" w:type="dxa"/>
            <w:tcBorders>
              <w:top w:val="nil"/>
              <w:bottom w:val="nil"/>
            </w:tcBorders>
          </w:tcPr>
          <w:p w:rsidR="00297712" w:rsidRPr="00536C7A" w:rsidRDefault="00297712" w:rsidP="00297712">
            <w:pPr>
              <w:spacing w:before="240" w:after="240" w:line="360" w:lineRule="auto"/>
              <w:rPr>
                <w:rFonts w:eastAsia="Calibri"/>
                <w:sz w:val="20"/>
                <w:szCs w:val="20"/>
              </w:rPr>
            </w:pPr>
            <w:r w:rsidRPr="00536C7A">
              <w:rPr>
                <w:rFonts w:eastAsia="Calibri"/>
                <w:iCs/>
                <w:sz w:val="20"/>
                <w:szCs w:val="20"/>
              </w:rPr>
              <w:t>VIMS</w:t>
            </w:r>
          </w:p>
        </w:tc>
        <w:tc>
          <w:tcPr>
            <w:tcW w:w="810"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Pr>
                <w:rFonts w:eastAsia="Calibri"/>
                <w:iCs/>
                <w:sz w:val="20"/>
                <w:szCs w:val="20"/>
              </w:rPr>
              <w:t>0.96</w:t>
            </w:r>
          </w:p>
        </w:tc>
        <w:tc>
          <w:tcPr>
            <w:tcW w:w="990"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0.26</w:t>
            </w:r>
          </w:p>
        </w:tc>
        <w:tc>
          <w:tcPr>
            <w:tcW w:w="938"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6.9</w:t>
            </w:r>
          </w:p>
        </w:tc>
        <w:tc>
          <w:tcPr>
            <w:tcW w:w="938"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0.7</w:t>
            </w:r>
          </w:p>
        </w:tc>
        <w:tc>
          <w:tcPr>
            <w:tcW w:w="955"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-83</w:t>
            </w:r>
          </w:p>
        </w:tc>
        <w:tc>
          <w:tcPr>
            <w:tcW w:w="997"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-1.8</w:t>
            </w:r>
          </w:p>
        </w:tc>
        <w:tc>
          <w:tcPr>
            <w:tcW w:w="1022"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87</w:t>
            </w:r>
          </w:p>
        </w:tc>
        <w:tc>
          <w:tcPr>
            <w:tcW w:w="1022"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w:t>
            </w:r>
          </w:p>
        </w:tc>
        <w:tc>
          <w:tcPr>
            <w:tcW w:w="1091"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37</w:t>
            </w:r>
          </w:p>
        </w:tc>
        <w:tc>
          <w:tcPr>
            <w:tcW w:w="855"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130</w:t>
            </w:r>
          </w:p>
        </w:tc>
        <w:tc>
          <w:tcPr>
            <w:tcW w:w="1092" w:type="dxa"/>
            <w:tcBorders>
              <w:top w:val="nil"/>
              <w:bottom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140</w:t>
            </w:r>
          </w:p>
        </w:tc>
      </w:tr>
      <w:tr w:rsidR="00297712" w:rsidRPr="00536C7A" w:rsidTr="00A077B3">
        <w:trPr>
          <w:trHeight w:hRule="exact" w:val="640"/>
          <w:jc w:val="center"/>
        </w:trPr>
        <w:tc>
          <w:tcPr>
            <w:tcW w:w="900" w:type="dxa"/>
            <w:tcBorders>
              <w:top w:val="nil"/>
            </w:tcBorders>
          </w:tcPr>
          <w:p w:rsidR="00297712" w:rsidRPr="00536C7A" w:rsidRDefault="00297712" w:rsidP="00297712">
            <w:pPr>
              <w:spacing w:before="240" w:after="240" w:line="360" w:lineRule="auto"/>
              <w:rPr>
                <w:rFonts w:eastAsia="Calibri"/>
                <w:iCs/>
                <w:sz w:val="20"/>
                <w:szCs w:val="20"/>
              </w:rPr>
            </w:pPr>
            <w:r w:rsidRPr="00536C7A">
              <w:rPr>
                <w:rFonts w:eastAsia="Calibri"/>
                <w:iCs/>
                <w:sz w:val="20"/>
                <w:szCs w:val="20"/>
              </w:rPr>
              <w:t>VIMλ</w:t>
            </w:r>
          </w:p>
        </w:tc>
        <w:tc>
          <w:tcPr>
            <w:tcW w:w="810" w:type="dxa"/>
            <w:tcBorders>
              <w:top w:val="nil"/>
            </w:tcBorders>
          </w:tcPr>
          <w:p w:rsidR="00297712" w:rsidRPr="00536C7A" w:rsidRDefault="00297712" w:rsidP="00297712">
            <w:pPr>
              <w:spacing w:before="240" w:after="240" w:line="360" w:lineRule="auto"/>
              <w:jc w:val="right"/>
              <w:rPr>
                <w:rFonts w:eastAsia="Calibri"/>
                <w:iCs/>
                <w:sz w:val="20"/>
                <w:szCs w:val="20"/>
              </w:rPr>
            </w:pPr>
            <w:r>
              <w:rPr>
                <w:rFonts w:eastAsia="Calibri"/>
                <w:iCs/>
                <w:sz w:val="20"/>
                <w:szCs w:val="20"/>
              </w:rPr>
              <w:t>0.99</w:t>
            </w:r>
          </w:p>
        </w:tc>
        <w:tc>
          <w:tcPr>
            <w:tcW w:w="990"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0.13</w:t>
            </w:r>
          </w:p>
        </w:tc>
        <w:tc>
          <w:tcPr>
            <w:tcW w:w="938"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1.6</w:t>
            </w:r>
          </w:p>
        </w:tc>
        <w:tc>
          <w:tcPr>
            <w:tcW w:w="938"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0.7</w:t>
            </w:r>
          </w:p>
        </w:tc>
        <w:tc>
          <w:tcPr>
            <w:tcW w:w="955"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-9</w:t>
            </w:r>
          </w:p>
        </w:tc>
        <w:tc>
          <w:tcPr>
            <w:tcW w:w="997"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0.6</w:t>
            </w:r>
          </w:p>
        </w:tc>
        <w:tc>
          <w:tcPr>
            <w:tcW w:w="1022"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33</w:t>
            </w:r>
          </w:p>
        </w:tc>
        <w:tc>
          <w:tcPr>
            <w:tcW w:w="1022"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0.21</w:t>
            </w:r>
          </w:p>
        </w:tc>
        <w:tc>
          <w:tcPr>
            <w:tcW w:w="1091"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33</w:t>
            </w:r>
          </w:p>
        </w:tc>
        <w:tc>
          <w:tcPr>
            <w:tcW w:w="855"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96</w:t>
            </w:r>
          </w:p>
        </w:tc>
        <w:tc>
          <w:tcPr>
            <w:tcW w:w="1092" w:type="dxa"/>
            <w:tcBorders>
              <w:top w:val="nil"/>
            </w:tcBorders>
          </w:tcPr>
          <w:p w:rsidR="00297712" w:rsidRPr="00536C7A" w:rsidRDefault="00297712" w:rsidP="00297712">
            <w:pPr>
              <w:spacing w:before="240" w:after="240" w:line="360" w:lineRule="auto"/>
              <w:jc w:val="right"/>
              <w:rPr>
                <w:rFonts w:eastAsia="Calibri"/>
                <w:iCs/>
                <w:sz w:val="20"/>
                <w:szCs w:val="20"/>
              </w:rPr>
            </w:pPr>
            <w:r w:rsidRPr="00536C7A">
              <w:rPr>
                <w:rFonts w:eastAsia="Calibri"/>
                <w:iCs/>
                <w:sz w:val="20"/>
                <w:szCs w:val="20"/>
              </w:rPr>
              <w:t>153</w:t>
            </w:r>
          </w:p>
        </w:tc>
      </w:tr>
    </w:tbl>
    <w:p w:rsidR="00A534CF" w:rsidRPr="00D339F4" w:rsidRDefault="00A534CF" w:rsidP="00A534CF">
      <w:pPr>
        <w:spacing w:line="480" w:lineRule="auto"/>
        <w:rPr>
          <w:rFonts w:eastAsia="Calibri"/>
          <w:iCs/>
          <w:szCs w:val="22"/>
        </w:rPr>
      </w:pPr>
    </w:p>
    <w:p w:rsidR="00D339F4" w:rsidRPr="00D339F4" w:rsidRDefault="00A534CF" w:rsidP="00A534CF">
      <w:pPr>
        <w:keepNext/>
        <w:spacing w:after="200"/>
        <w:rPr>
          <w:rFonts w:eastAsia="Calibri"/>
          <w:iCs/>
          <w:szCs w:val="22"/>
        </w:rPr>
      </w:pPr>
      <w:r w:rsidRPr="00D339F4">
        <w:rPr>
          <w:rFonts w:eastAsia="Calibri"/>
          <w:iCs/>
          <w:szCs w:val="22"/>
        </w:rPr>
        <w:t xml:space="preserve"> </w:t>
      </w:r>
    </w:p>
    <w:p w:rsidR="00D339F4" w:rsidRPr="00D339F4" w:rsidRDefault="00D339F4" w:rsidP="00D339F4">
      <w:pPr>
        <w:spacing w:line="480" w:lineRule="auto"/>
        <w:rPr>
          <w:rFonts w:eastAsia="Calibri"/>
          <w:iCs/>
          <w:szCs w:val="22"/>
        </w:rPr>
        <w:sectPr w:rsidR="00D339F4" w:rsidRPr="00D339F4" w:rsidSect="00F66E22">
          <w:headerReference w:type="default" r:id="rId68"/>
          <w:footerReference w:type="default" r:id="rId69"/>
          <w:pgSz w:w="13608" w:h="11907" w:orient="landscape" w:code="1"/>
          <w:pgMar w:top="936" w:right="567" w:bottom="936" w:left="1338" w:header="720" w:footer="720" w:gutter="0"/>
          <w:lnNumType w:countBy="5"/>
          <w:cols w:space="720"/>
          <w:docGrid w:linePitch="360"/>
        </w:sectPr>
      </w:pPr>
    </w:p>
    <w:p w:rsidR="00587EFA" w:rsidRPr="00587EFA" w:rsidRDefault="00587EFA" w:rsidP="00587EFA">
      <w:pPr>
        <w:pStyle w:val="NormalNew"/>
      </w:pPr>
      <w:bookmarkStart w:id="88" w:name="_Toc479817872"/>
      <w:bookmarkStart w:id="89" w:name="_Toc481658248"/>
      <w:r w:rsidRPr="00D339F4">
        <w:rPr>
          <w:iCs/>
        </w:rPr>
        <w:lastRenderedPageBreak/>
        <w:t xml:space="preserve">In the models where </w:t>
      </w:r>
      <w:r w:rsidRPr="00D339F4">
        <w:rPr>
          <w:i/>
          <w:iCs/>
        </w:rPr>
        <w:t>λ</w:t>
      </w:r>
      <w:r w:rsidRPr="00D339F4">
        <w:rPr>
          <w:i/>
          <w:iCs/>
          <w:vertAlign w:val="subscript"/>
        </w:rPr>
        <w:t>W</w:t>
      </w:r>
      <w:r w:rsidRPr="00D339F4">
        <w:rPr>
          <w:iCs/>
        </w:rPr>
        <w:t xml:space="preserve"> was calibrated (CMλ and VIMλ), it was smaller than </w:t>
      </w:r>
      <w:r w:rsidRPr="00D339F4">
        <w:rPr>
          <w:i/>
          <w:iCs/>
        </w:rPr>
        <w:t>λ</w:t>
      </w:r>
      <w:r w:rsidRPr="00D339F4">
        <w:rPr>
          <w:i/>
          <w:iCs/>
          <w:vertAlign w:val="subscript"/>
        </w:rPr>
        <w:t>i</w:t>
      </w:r>
      <w:r w:rsidRPr="00D339F4">
        <w:rPr>
          <w:iCs/>
        </w:rPr>
        <w:t xml:space="preserve"> (</w:t>
      </w:r>
      <w:r w:rsidRPr="00B615A2">
        <w:rPr>
          <w:bCs/>
        </w:rPr>
        <w:t xml:space="preserve">Table </w:t>
      </w:r>
      <w:r w:rsidRPr="00B615A2">
        <w:rPr>
          <w:bCs/>
          <w:noProof/>
        </w:rPr>
        <w:t>3</w:t>
      </w:r>
      <w:r w:rsidRPr="00D339F4">
        <w:rPr>
          <w:iCs/>
        </w:rPr>
        <w:t>)</w:t>
      </w:r>
      <w:r w:rsidRPr="00D339F4">
        <w:t xml:space="preserve">. This shows that </w:t>
      </w:r>
      <w:r w:rsidRPr="00D339F4">
        <w:rPr>
          <w:i/>
          <w:iCs/>
        </w:rPr>
        <w:t>λ</w:t>
      </w:r>
      <w:r w:rsidRPr="00D339F4">
        <w:t xml:space="preserve"> at the watershed scale tends to be smaller than that at the HRU scale in the lumped parameter models. All the models under-predicted </w:t>
      </w:r>
      <w:r w:rsidRPr="00D339F4">
        <w:rPr>
          <w:i/>
          <w:iCs/>
        </w:rPr>
        <w:t>I</w:t>
      </w:r>
      <w:r w:rsidRPr="00D339F4">
        <w:rPr>
          <w:i/>
          <w:iCs/>
          <w:vertAlign w:val="subscript"/>
        </w:rPr>
        <w:t>a</w:t>
      </w:r>
      <w:r w:rsidRPr="00D339F4">
        <w:t xml:space="preserve"> or </w:t>
      </w:r>
      <w:r w:rsidRPr="00D339F4">
        <w:rPr>
          <w:i/>
          <w:iCs/>
        </w:rPr>
        <w:t>I</w:t>
      </w:r>
      <w:r w:rsidRPr="00D339F4">
        <w:rPr>
          <w:i/>
          <w:iCs/>
          <w:vertAlign w:val="subscript"/>
        </w:rPr>
        <w:t>aT</w:t>
      </w:r>
      <w:r w:rsidRPr="00D339F4">
        <w:t xml:space="preserve"> with </w:t>
      </w:r>
      <w:r w:rsidRPr="00D339F4">
        <w:rPr>
          <w:iCs/>
        </w:rPr>
        <w:t xml:space="preserve">CMλ being the most severe. There was also a corresponding over-prediction of </w:t>
      </w:r>
      <w:r w:rsidRPr="00D339F4">
        <w:rPr>
          <w:i/>
          <w:iCs/>
        </w:rPr>
        <w:t>S</w:t>
      </w:r>
      <w:r w:rsidRPr="00D339F4">
        <w:t xml:space="preserve"> or </w:t>
      </w:r>
      <w:r w:rsidRPr="00D339F4">
        <w:rPr>
          <w:i/>
          <w:iCs/>
        </w:rPr>
        <w:t>S</w:t>
      </w:r>
      <w:r w:rsidRPr="00D339F4">
        <w:rPr>
          <w:iCs/>
          <w:vertAlign w:val="subscript"/>
        </w:rPr>
        <w:t>∞</w:t>
      </w:r>
      <w:r w:rsidRPr="00D339F4">
        <w:t xml:space="preserve"> </w:t>
      </w:r>
      <w:r w:rsidRPr="00D339F4">
        <w:rPr>
          <w:iCs/>
        </w:rPr>
        <w:t xml:space="preserve">by all the models except for the case of </w:t>
      </w:r>
      <w:r w:rsidRPr="00D339F4">
        <w:rPr>
          <w:i/>
          <w:iCs/>
        </w:rPr>
        <w:t>λ</w:t>
      </w:r>
      <w:r w:rsidRPr="00D339F4">
        <w:rPr>
          <w:i/>
          <w:iCs/>
          <w:vertAlign w:val="subscript"/>
        </w:rPr>
        <w:t>i</w:t>
      </w:r>
      <w:r w:rsidRPr="00D339F4">
        <w:rPr>
          <w:lang w:bidi="te-IN"/>
        </w:rPr>
        <w:t xml:space="preserve"> = 0.2 in CM0.2. Again, the most over-prediction of </w:t>
      </w:r>
      <w:r w:rsidRPr="00D339F4">
        <w:rPr>
          <w:i/>
          <w:lang w:bidi="te-IN"/>
        </w:rPr>
        <w:t>S</w:t>
      </w:r>
      <w:r w:rsidRPr="00D339F4">
        <w:rPr>
          <w:lang w:bidi="te-IN"/>
        </w:rPr>
        <w:t xml:space="preserve"> occurred in </w:t>
      </w:r>
      <w:r w:rsidRPr="00D339F4">
        <w:rPr>
          <w:iCs/>
        </w:rPr>
        <w:t>CMλ</w:t>
      </w:r>
      <w:r w:rsidRPr="00D339F4">
        <w:rPr>
          <w:lang w:bidi="te-IN"/>
        </w:rPr>
        <w:t xml:space="preserve">. The </w:t>
      </w:r>
      <w:r w:rsidRPr="00D339F4">
        <w:t xml:space="preserve">under-prediction of </w:t>
      </w:r>
      <w:r w:rsidRPr="00D339F4">
        <w:rPr>
          <w:i/>
          <w:iCs/>
        </w:rPr>
        <w:t>I</w:t>
      </w:r>
      <w:r w:rsidRPr="00D339F4">
        <w:rPr>
          <w:i/>
          <w:iCs/>
          <w:vertAlign w:val="subscript"/>
        </w:rPr>
        <w:t>a</w:t>
      </w:r>
      <w:r w:rsidRPr="00D339F4">
        <w:t xml:space="preserve"> </w:t>
      </w:r>
      <w:r w:rsidRPr="00D339F4">
        <w:rPr>
          <w:lang w:bidi="te-IN"/>
        </w:rPr>
        <w:t xml:space="preserve">and the corresponding </w:t>
      </w:r>
      <w:r w:rsidRPr="00D339F4">
        <w:rPr>
          <w:iCs/>
        </w:rPr>
        <w:t xml:space="preserve">over-prediction of </w:t>
      </w:r>
      <w:r w:rsidRPr="00D339F4">
        <w:rPr>
          <w:i/>
          <w:iCs/>
        </w:rPr>
        <w:t>S</w:t>
      </w:r>
      <w:r w:rsidRPr="00D339F4">
        <w:t xml:space="preserve"> </w:t>
      </w:r>
      <w:r w:rsidRPr="00D339F4">
        <w:rPr>
          <w:lang w:bidi="te-IN"/>
        </w:rPr>
        <w:t xml:space="preserve">is due to the transfer of storage from </w:t>
      </w:r>
      <w:r w:rsidRPr="00D339F4">
        <w:rPr>
          <w:i/>
          <w:iCs/>
        </w:rPr>
        <w:t>I</w:t>
      </w:r>
      <w:r w:rsidRPr="00D339F4">
        <w:rPr>
          <w:i/>
          <w:iCs/>
          <w:vertAlign w:val="subscript"/>
        </w:rPr>
        <w:t>a</w:t>
      </w:r>
      <w:r w:rsidRPr="00D339F4">
        <w:t xml:space="preserve"> </w:t>
      </w:r>
      <w:r w:rsidRPr="00D339F4">
        <w:rPr>
          <w:lang w:bidi="te-IN"/>
        </w:rPr>
        <w:t xml:space="preserve">to </w:t>
      </w:r>
      <w:r w:rsidRPr="00D339F4">
        <w:rPr>
          <w:i/>
          <w:iCs/>
        </w:rPr>
        <w:t>S</w:t>
      </w:r>
      <w:r w:rsidRPr="00D339F4">
        <w:rPr>
          <w:lang w:bidi="te-IN"/>
        </w:rPr>
        <w:t>, which generally improves the performance in the conventional models.</w:t>
      </w:r>
    </w:p>
    <w:p w:rsidR="00D339F4" w:rsidRPr="00D339F4" w:rsidRDefault="00D339F4" w:rsidP="00D339F4">
      <w:pPr>
        <w:pStyle w:val="Heading3"/>
        <w:rPr>
          <w:i/>
        </w:rPr>
      </w:pPr>
      <w:r w:rsidRPr="00D339F4">
        <w:t xml:space="preserve">6.1. Storage Transfer from </w:t>
      </w:r>
      <w:r w:rsidRPr="00D339F4">
        <w:rPr>
          <w:i/>
          <w:iCs/>
        </w:rPr>
        <w:t>I</w:t>
      </w:r>
      <w:r w:rsidRPr="00D339F4">
        <w:rPr>
          <w:i/>
          <w:iCs/>
          <w:vertAlign w:val="subscript"/>
        </w:rPr>
        <w:t>a</w:t>
      </w:r>
      <w:r w:rsidRPr="00D339F4">
        <w:t xml:space="preserve"> to </w:t>
      </w:r>
      <w:r w:rsidRPr="00D339F4">
        <w:rPr>
          <w:i/>
        </w:rPr>
        <w:t>S</w:t>
      </w:r>
      <w:bookmarkEnd w:id="88"/>
      <w:bookmarkEnd w:id="89"/>
    </w:p>
    <w:p w:rsidR="00D339F4" w:rsidRPr="00D339F4" w:rsidRDefault="00D339F4" w:rsidP="004A14A3">
      <w:pPr>
        <w:pStyle w:val="NormalNew"/>
      </w:pPr>
      <w:r w:rsidRPr="00D339F4">
        <w:t xml:space="preserve">The storage in a watershed is distributed between </w:t>
      </w:r>
      <w:r w:rsidRPr="00D339F4">
        <w:rPr>
          <w:i/>
          <w:iCs/>
        </w:rPr>
        <w:t>I</w:t>
      </w:r>
      <w:r w:rsidRPr="00D339F4">
        <w:rPr>
          <w:i/>
          <w:iCs/>
          <w:vertAlign w:val="subscript"/>
        </w:rPr>
        <w:t>a</w:t>
      </w:r>
      <w:r w:rsidRPr="00D339F4">
        <w:t xml:space="preserve"> and </w:t>
      </w:r>
      <w:r w:rsidRPr="00D339F4">
        <w:rPr>
          <w:i/>
        </w:rPr>
        <w:t>S</w:t>
      </w:r>
      <w:r w:rsidRPr="00D339F4">
        <w:t xml:space="preserve">. </w:t>
      </w:r>
      <w:r w:rsidRPr="00D339F4">
        <w:rPr>
          <w:i/>
          <w:iCs/>
        </w:rPr>
        <w:t>I</w:t>
      </w:r>
      <w:r w:rsidRPr="00D339F4">
        <w:rPr>
          <w:i/>
          <w:iCs/>
          <w:vertAlign w:val="subscript"/>
        </w:rPr>
        <w:t>a</w:t>
      </w:r>
      <w:r w:rsidRPr="00D339F4">
        <w:t xml:space="preserve"> is the part of the storage that does not produce runoff while being filled, whereas</w:t>
      </w:r>
      <w:r w:rsidRPr="00D339F4">
        <w:rPr>
          <w:i/>
          <w:iCs/>
        </w:rPr>
        <w:t xml:space="preserve"> S</w:t>
      </w:r>
      <w:r w:rsidRPr="00D339F4">
        <w:t xml:space="preserve"> is the part that produces runoff while being filled. Using eqs. </w:t>
      </w:r>
      <w:r w:rsidR="00B615A2" w:rsidRPr="00B615A2">
        <w:t>(2)</w:t>
      </w:r>
      <w:r w:rsidRPr="00D339F4">
        <w:t xml:space="preserve"> and </w:t>
      </w:r>
      <w:r w:rsidR="00B615A2" w:rsidRPr="00B615A2">
        <w:t>(1)</w:t>
      </w:r>
      <w:r w:rsidRPr="00D339F4">
        <w:t xml:space="preserve"> it can be shown that</w:t>
      </w:r>
    </w:p>
    <w:p w:rsidR="00D339F4" w:rsidRPr="00D339F4" w:rsidRDefault="00D339F4" w:rsidP="007174A8">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28"/>
          <w:szCs w:val="22"/>
        </w:rPr>
        <w:pict>
          <v:shape id="_x0000_i1061" type="#_x0000_t75" style="width:106.8pt;height:32.4pt">
            <v:imagedata r:id="rId70" o:title=""/>
          </v:shape>
        </w:pict>
      </w:r>
      <w:r w:rsidRPr="00D339F4">
        <w:rPr>
          <w:rFonts w:eastAsia="Calibri"/>
          <w:szCs w:val="22"/>
        </w:rPr>
        <w:t xml:space="preserve"> </w:t>
      </w:r>
      <w:r w:rsidRPr="00D339F4">
        <w:rPr>
          <w:rFonts w:eastAsia="Calibri"/>
          <w:szCs w:val="22"/>
        </w:rPr>
        <w:tab/>
      </w:r>
      <w:bookmarkStart w:id="90" w:name="ZEqnNum570651"/>
      <w:r w:rsidRPr="007174A8">
        <w:rPr>
          <w:rFonts w:eastAsia="Calibri"/>
          <w:sz w:val="20"/>
          <w:szCs w:val="20"/>
        </w:rPr>
        <w:t>(</w:t>
      </w:r>
      <w:r w:rsidR="00B615A2">
        <w:rPr>
          <w:rFonts w:eastAsia="Calibri"/>
          <w:noProof/>
          <w:sz w:val="20"/>
          <w:szCs w:val="20"/>
        </w:rPr>
        <w:t>25</w:t>
      </w:r>
      <w:r w:rsidRPr="007174A8">
        <w:rPr>
          <w:rFonts w:eastAsia="Calibri"/>
          <w:sz w:val="20"/>
          <w:szCs w:val="20"/>
        </w:rPr>
        <w:t>)</w:t>
      </w:r>
      <w:bookmarkEnd w:id="90"/>
    </w:p>
    <w:p w:rsidR="004A14A3" w:rsidRPr="00D339F4" w:rsidRDefault="00D339F4" w:rsidP="004A14A3">
      <w:pPr>
        <w:pStyle w:val="NormalNew"/>
      </w:pPr>
      <w:r w:rsidRPr="00D339F4">
        <w:t xml:space="preserve">For an observed storm event, </w:t>
      </w:r>
      <w:r w:rsidRPr="00D339F4">
        <w:rPr>
          <w:i/>
        </w:rPr>
        <w:t>P</w:t>
      </w:r>
      <w:r w:rsidRPr="00D339F4">
        <w:t xml:space="preserve"> and </w:t>
      </w:r>
      <w:r w:rsidRPr="00D339F4">
        <w:rPr>
          <w:i/>
        </w:rPr>
        <w:t>Q</w:t>
      </w:r>
      <w:r w:rsidRPr="00D339F4">
        <w:t xml:space="preserve"> are known and therefore are constants in eq. </w:t>
      </w:r>
      <w:r w:rsidR="00B615A2" w:rsidRPr="00B615A2">
        <w:t>(25)</w:t>
      </w:r>
      <w:r w:rsidRPr="00D339F4">
        <w:t xml:space="preserve">, so decreasing </w:t>
      </w:r>
      <w:r w:rsidRPr="00D339F4">
        <w:rPr>
          <w:i/>
          <w:iCs/>
        </w:rPr>
        <w:t>I</w:t>
      </w:r>
      <w:r w:rsidRPr="00D339F4">
        <w:rPr>
          <w:i/>
          <w:iCs/>
          <w:vertAlign w:val="subscript"/>
        </w:rPr>
        <w:t>a</w:t>
      </w:r>
      <w:r w:rsidRPr="00D339F4">
        <w:t xml:space="preserve"> will increase </w:t>
      </w:r>
      <w:r w:rsidRPr="00D339F4">
        <w:rPr>
          <w:i/>
        </w:rPr>
        <w:t>S</w:t>
      </w:r>
      <w:r w:rsidRPr="00D339F4">
        <w:t xml:space="preserve">. However, the magnitude of increase in </w:t>
      </w:r>
      <w:r w:rsidRPr="00D339F4">
        <w:rPr>
          <w:i/>
          <w:iCs/>
        </w:rPr>
        <w:t>S</w:t>
      </w:r>
      <w:r w:rsidRPr="00D339F4">
        <w:t xml:space="preserve"> will be greater than the magnitude of decrease in </w:t>
      </w:r>
      <w:r w:rsidRPr="00D339F4">
        <w:rPr>
          <w:i/>
          <w:iCs/>
        </w:rPr>
        <w:t>I</w:t>
      </w:r>
      <w:r w:rsidRPr="00D339F4">
        <w:rPr>
          <w:i/>
          <w:iCs/>
          <w:vertAlign w:val="subscript"/>
        </w:rPr>
        <w:t>a</w:t>
      </w:r>
      <w:r w:rsidRPr="00D339F4">
        <w:t xml:space="preserve">. This is illustrated by differentiating eq. </w:t>
      </w:r>
      <w:r w:rsidR="00B615A2" w:rsidRPr="00B615A2">
        <w:t>(25)</w:t>
      </w:r>
      <w:r w:rsidRPr="00D339F4">
        <w:t xml:space="preserve"> and using eq. </w:t>
      </w:r>
      <w:r w:rsidR="00B615A2" w:rsidRPr="00B615A2">
        <w:t>(4)</w:t>
      </w:r>
      <w:r w:rsidRPr="00D339F4">
        <w:t xml:space="preserve"> to give</w:t>
      </w:r>
    </w:p>
    <w:p w:rsidR="00D339F4" w:rsidRPr="00D339F4" w:rsidRDefault="00D339F4" w:rsidP="007174A8">
      <w:pPr>
        <w:tabs>
          <w:tab w:val="center" w:pos="4962"/>
          <w:tab w:val="right" w:pos="10348"/>
        </w:tabs>
        <w:spacing w:line="480" w:lineRule="auto"/>
        <w:ind w:firstLine="720"/>
        <w:rPr>
          <w:rFonts w:eastAsia="Calibri"/>
          <w:szCs w:val="22"/>
        </w:rPr>
      </w:pPr>
      <w:r w:rsidRPr="00D339F4">
        <w:rPr>
          <w:rFonts w:eastAsia="Calibri"/>
          <w:szCs w:val="22"/>
        </w:rPr>
        <w:tab/>
      </w:r>
      <w:r w:rsidR="00CB311D">
        <w:rPr>
          <w:rFonts w:eastAsia="Calibri"/>
          <w:position w:val="-30"/>
          <w:szCs w:val="22"/>
        </w:rPr>
        <w:pict>
          <v:shape id="_x0000_i1062" type="#_x0000_t75" style="width:147.6pt;height:36.6pt">
            <v:imagedata r:id="rId71" o:title=""/>
          </v:shape>
        </w:pict>
      </w:r>
      <w:r w:rsidRPr="00D339F4">
        <w:rPr>
          <w:rFonts w:eastAsia="Calibri"/>
          <w:szCs w:val="22"/>
        </w:rPr>
        <w:t xml:space="preserve"> </w:t>
      </w:r>
      <w:r w:rsidRPr="00D339F4">
        <w:rPr>
          <w:rFonts w:eastAsia="Calibri"/>
          <w:szCs w:val="22"/>
        </w:rPr>
        <w:tab/>
      </w:r>
      <w:r w:rsidRPr="007174A8">
        <w:rPr>
          <w:rFonts w:eastAsia="Calibri"/>
          <w:sz w:val="20"/>
          <w:szCs w:val="20"/>
        </w:rPr>
        <w:t>(</w:t>
      </w:r>
      <w:r w:rsidR="00B615A2">
        <w:rPr>
          <w:rFonts w:eastAsia="Calibri"/>
          <w:noProof/>
          <w:sz w:val="20"/>
          <w:szCs w:val="20"/>
        </w:rPr>
        <w:t>26</w:t>
      </w:r>
      <w:r w:rsidRPr="007174A8">
        <w:rPr>
          <w:rFonts w:eastAsia="Calibri"/>
          <w:sz w:val="20"/>
          <w:szCs w:val="20"/>
        </w:rPr>
        <w:t>)</w:t>
      </w:r>
    </w:p>
    <w:p w:rsidR="004A14A3" w:rsidRPr="00D339F4" w:rsidRDefault="00D339F4" w:rsidP="004A14A3">
      <w:pPr>
        <w:pStyle w:val="NormalNew"/>
      </w:pPr>
      <w:r w:rsidRPr="00D339F4">
        <w:t xml:space="preserve">Thus, </w:t>
      </w:r>
      <w:r w:rsidRPr="00D339F4">
        <w:rPr>
          <w:i/>
        </w:rPr>
        <w:t>dS</w:t>
      </w:r>
      <w:r w:rsidRPr="00D339F4">
        <w:t>/</w:t>
      </w:r>
      <w:r w:rsidRPr="00D339F4">
        <w:rPr>
          <w:i/>
        </w:rPr>
        <w:t>d</w:t>
      </w:r>
      <w:r w:rsidRPr="00D339F4">
        <w:rPr>
          <w:i/>
          <w:iCs/>
        </w:rPr>
        <w:t>I</w:t>
      </w:r>
      <w:r w:rsidRPr="00D339F4">
        <w:rPr>
          <w:i/>
          <w:iCs/>
          <w:vertAlign w:val="subscript"/>
        </w:rPr>
        <w:t>a</w:t>
      </w:r>
      <w:r w:rsidRPr="00D339F4">
        <w:t xml:space="preserve"> is always negative and less than or equal to -1. If (</w:t>
      </w:r>
      <w:r w:rsidRPr="00D339F4">
        <w:rPr>
          <w:i/>
        </w:rPr>
        <w:t>P − I</w:t>
      </w:r>
      <w:r w:rsidRPr="00D339F4">
        <w:rPr>
          <w:i/>
          <w:vertAlign w:val="subscript"/>
        </w:rPr>
        <w:t>a</w:t>
      </w:r>
      <w:r w:rsidRPr="00D339F4">
        <w:t xml:space="preserve">) &gt;&gt; </w:t>
      </w:r>
      <w:r w:rsidRPr="00D339F4">
        <w:rPr>
          <w:i/>
        </w:rPr>
        <w:t>S</w:t>
      </w:r>
      <w:r w:rsidRPr="00D339F4">
        <w:t xml:space="preserve"> or</w:t>
      </w:r>
      <w:r w:rsidRPr="00D339F4">
        <w:rPr>
          <w:i/>
        </w:rPr>
        <w:t xml:space="preserve"> S</w:t>
      </w:r>
      <w:r w:rsidRPr="00D339F4">
        <w:t xml:space="preserve"> ≈ 0, then </w:t>
      </w:r>
      <w:r w:rsidRPr="00D339F4">
        <w:rPr>
          <w:i/>
        </w:rPr>
        <w:t>dS</w:t>
      </w:r>
      <w:r w:rsidRPr="00D339F4">
        <w:t>/</w:t>
      </w:r>
      <w:r w:rsidRPr="00D339F4">
        <w:rPr>
          <w:i/>
        </w:rPr>
        <w:t>d</w:t>
      </w:r>
      <w:r w:rsidRPr="00D339F4">
        <w:rPr>
          <w:i/>
          <w:iCs/>
        </w:rPr>
        <w:t>I</w:t>
      </w:r>
      <w:r w:rsidRPr="00D339F4">
        <w:rPr>
          <w:i/>
          <w:iCs/>
          <w:vertAlign w:val="subscript"/>
        </w:rPr>
        <w:t>a</w:t>
      </w:r>
      <w:r w:rsidRPr="00D339F4">
        <w:t xml:space="preserve"> ≈ -1, implying an equal transfer in storage between </w:t>
      </w:r>
      <w:r w:rsidRPr="00D339F4">
        <w:rPr>
          <w:i/>
          <w:iCs/>
        </w:rPr>
        <w:t>I</w:t>
      </w:r>
      <w:r w:rsidRPr="00D339F4">
        <w:rPr>
          <w:i/>
          <w:iCs/>
          <w:vertAlign w:val="subscript"/>
        </w:rPr>
        <w:t>a</w:t>
      </w:r>
      <w:r w:rsidRPr="00D339F4">
        <w:t xml:space="preserve"> and </w:t>
      </w:r>
      <w:r w:rsidRPr="00D339F4">
        <w:rPr>
          <w:i/>
          <w:iCs/>
        </w:rPr>
        <w:t>S</w:t>
      </w:r>
      <w:r w:rsidRPr="00D339F4">
        <w:t xml:space="preserve">. However, as </w:t>
      </w:r>
      <w:r w:rsidRPr="00D339F4">
        <w:rPr>
          <w:i/>
        </w:rPr>
        <w:t xml:space="preserve">P </w:t>
      </w:r>
      <w:r w:rsidRPr="00D339F4">
        <w:t>decreases,</w:t>
      </w:r>
      <w:r w:rsidRPr="00D339F4">
        <w:rPr>
          <w:i/>
        </w:rPr>
        <w:t xml:space="preserve"> dS</w:t>
      </w:r>
      <w:r w:rsidRPr="00D339F4">
        <w:t>/</w:t>
      </w:r>
      <w:r w:rsidRPr="00D339F4">
        <w:rPr>
          <w:i/>
        </w:rPr>
        <w:t>d</w:t>
      </w:r>
      <w:r w:rsidRPr="00D339F4">
        <w:rPr>
          <w:i/>
          <w:iCs/>
        </w:rPr>
        <w:t>I</w:t>
      </w:r>
      <w:r w:rsidRPr="00D339F4">
        <w:rPr>
          <w:i/>
          <w:iCs/>
          <w:vertAlign w:val="subscript"/>
        </w:rPr>
        <w:t>a</w:t>
      </w:r>
      <w:r w:rsidRPr="00D339F4">
        <w:t xml:space="preserve"> becomes less than -1, implying that</w:t>
      </w:r>
      <w:r w:rsidRPr="00D339F4">
        <w:rPr>
          <w:i/>
          <w:iCs/>
        </w:rPr>
        <w:t xml:space="preserve"> S</w:t>
      </w:r>
      <w:r w:rsidRPr="00D339F4">
        <w:t xml:space="preserve"> changes more rapidly than </w:t>
      </w:r>
      <w:r w:rsidRPr="00D339F4">
        <w:rPr>
          <w:i/>
        </w:rPr>
        <w:t>I</w:t>
      </w:r>
      <w:r w:rsidRPr="00D339F4">
        <w:rPr>
          <w:i/>
          <w:vertAlign w:val="subscript"/>
        </w:rPr>
        <w:t>a</w:t>
      </w:r>
      <w:r w:rsidRPr="00D339F4">
        <w:t xml:space="preserve">. In other words, the relative change of magnitude in </w:t>
      </w:r>
      <w:r w:rsidRPr="00D339F4">
        <w:rPr>
          <w:i/>
        </w:rPr>
        <w:t>S</w:t>
      </w:r>
      <w:r w:rsidRPr="00D339F4">
        <w:t xml:space="preserve"> with respect to</w:t>
      </w:r>
      <w:r w:rsidRPr="00D339F4">
        <w:rPr>
          <w:i/>
          <w:iCs/>
        </w:rPr>
        <w:t xml:space="preserve"> I</w:t>
      </w:r>
      <w:r w:rsidRPr="00D339F4">
        <w:rPr>
          <w:i/>
          <w:iCs/>
          <w:vertAlign w:val="subscript"/>
        </w:rPr>
        <w:t>a</w:t>
      </w:r>
      <w:r w:rsidRPr="00D339F4">
        <w:t xml:space="preserve"> is large for smaller </w:t>
      </w:r>
      <w:r w:rsidRPr="00D339F4">
        <w:rPr>
          <w:i/>
        </w:rPr>
        <w:t>P</w:t>
      </w:r>
      <w:r w:rsidRPr="00D339F4">
        <w:t xml:space="preserve">, decreases with increasing </w:t>
      </w:r>
      <w:r w:rsidRPr="00D339F4">
        <w:rPr>
          <w:i/>
        </w:rPr>
        <w:t>P</w:t>
      </w:r>
      <w:r w:rsidRPr="00D339F4">
        <w:t xml:space="preserve">, and approaches unity for large values of </w:t>
      </w:r>
      <w:r w:rsidRPr="00D339F4">
        <w:rPr>
          <w:i/>
        </w:rPr>
        <w:t>P</w:t>
      </w:r>
      <w:r w:rsidRPr="00D339F4">
        <w:t>.</w:t>
      </w:r>
    </w:p>
    <w:p w:rsidR="00D339F4" w:rsidRPr="00D339F4" w:rsidRDefault="00D339F4" w:rsidP="004A14A3">
      <w:pPr>
        <w:pStyle w:val="NormalNew"/>
        <w:rPr>
          <w:lang w:bidi="te-IN"/>
        </w:rPr>
      </w:pPr>
      <w:r w:rsidRPr="00D339F4">
        <w:t xml:space="preserve">Storage transfer is evident when the values of </w:t>
      </w:r>
      <w:r w:rsidRPr="00D339F4">
        <w:rPr>
          <w:i/>
          <w:iCs/>
        </w:rPr>
        <w:t>I</w:t>
      </w:r>
      <w:r w:rsidRPr="00D339F4">
        <w:rPr>
          <w:i/>
          <w:iCs/>
          <w:vertAlign w:val="subscript"/>
        </w:rPr>
        <w:t>a</w:t>
      </w:r>
      <w:r w:rsidRPr="00D339F4">
        <w:t xml:space="preserve"> and </w:t>
      </w:r>
      <w:r w:rsidRPr="00D339F4">
        <w:rPr>
          <w:i/>
          <w:iCs/>
        </w:rPr>
        <w:t>S</w:t>
      </w:r>
      <w:r w:rsidRPr="00D339F4">
        <w:t xml:space="preserve"> for the models CM0.2 and </w:t>
      </w:r>
      <w:r w:rsidRPr="00D339F4">
        <w:rPr>
          <w:iCs/>
        </w:rPr>
        <w:t>CMλ are compared (</w:t>
      </w:r>
      <w:r w:rsidR="00B615A2" w:rsidRPr="00B615A2">
        <w:t>Table 3</w:t>
      </w:r>
      <w:r w:rsidRPr="00D339F4">
        <w:t>)</w:t>
      </w:r>
      <w:r w:rsidRPr="00D339F4">
        <w:rPr>
          <w:iCs/>
        </w:rPr>
        <w:t xml:space="preserve">. For the case of </w:t>
      </w:r>
      <w:r w:rsidRPr="00D339F4">
        <w:rPr>
          <w:i/>
          <w:iCs/>
        </w:rPr>
        <w:t>λ</w:t>
      </w:r>
      <w:r w:rsidRPr="00D339F4">
        <w:rPr>
          <w:i/>
          <w:iCs/>
          <w:vertAlign w:val="subscript"/>
        </w:rPr>
        <w:t>i</w:t>
      </w:r>
      <w:r w:rsidRPr="00D339F4">
        <w:rPr>
          <w:lang w:bidi="te-IN"/>
        </w:rPr>
        <w:t xml:space="preserve"> = 0.2, </w:t>
      </w:r>
      <w:r w:rsidRPr="00D339F4">
        <w:rPr>
          <w:i/>
          <w:iCs/>
        </w:rPr>
        <w:t>I</w:t>
      </w:r>
      <w:r w:rsidRPr="00D339F4">
        <w:rPr>
          <w:i/>
          <w:iCs/>
          <w:vertAlign w:val="subscript"/>
        </w:rPr>
        <w:t>a</w:t>
      </w:r>
      <w:r w:rsidRPr="00D339F4">
        <w:t xml:space="preserve"> </w:t>
      </w:r>
      <w:r w:rsidRPr="00D339F4">
        <w:rPr>
          <w:lang w:bidi="te-IN"/>
        </w:rPr>
        <w:t xml:space="preserve">decreased from 19 mm in </w:t>
      </w:r>
      <w:r w:rsidRPr="00D339F4">
        <w:t xml:space="preserve">CM0.2 to 9 mm in </w:t>
      </w:r>
      <w:r w:rsidRPr="00D339F4">
        <w:rPr>
          <w:iCs/>
        </w:rPr>
        <w:t xml:space="preserve">CMλ, whereas </w:t>
      </w:r>
      <w:r w:rsidRPr="00D339F4">
        <w:rPr>
          <w:i/>
          <w:iCs/>
        </w:rPr>
        <w:t>S</w:t>
      </w:r>
      <w:r w:rsidRPr="00D339F4">
        <w:t xml:space="preserve"> </w:t>
      </w:r>
      <w:r w:rsidRPr="00D339F4">
        <w:rPr>
          <w:lang w:bidi="te-IN"/>
        </w:rPr>
        <w:t xml:space="preserve">increased from 97 mm to 132 mm, i.e. </w:t>
      </w:r>
      <w:r w:rsidRPr="00D339F4">
        <w:rPr>
          <w:i/>
        </w:rPr>
        <w:t>dS</w:t>
      </w:r>
      <w:r w:rsidRPr="00D339F4">
        <w:t>/</w:t>
      </w:r>
      <w:r w:rsidRPr="00D339F4">
        <w:rPr>
          <w:i/>
        </w:rPr>
        <w:t>d</w:t>
      </w:r>
      <w:r w:rsidRPr="00D339F4">
        <w:rPr>
          <w:i/>
          <w:iCs/>
        </w:rPr>
        <w:t>I</w:t>
      </w:r>
      <w:r w:rsidRPr="00D339F4">
        <w:rPr>
          <w:i/>
          <w:iCs/>
          <w:vertAlign w:val="subscript"/>
        </w:rPr>
        <w:t>a</w:t>
      </w:r>
      <w:r w:rsidRPr="00D339F4">
        <w:t xml:space="preserve"> </w:t>
      </w:r>
      <w:r w:rsidRPr="00D339F4">
        <w:rPr>
          <w:lang w:bidi="te-IN"/>
        </w:rPr>
        <w:t>= -3.5. Similarly</w:t>
      </w:r>
      <w:r w:rsidR="0086119C">
        <w:rPr>
          <w:lang w:bidi="te-IN"/>
        </w:rPr>
        <w:t>,</w:t>
      </w:r>
      <w:r w:rsidRPr="00D339F4">
        <w:rPr>
          <w:lang w:bidi="te-IN"/>
        </w:rPr>
        <w:t xml:space="preserve"> for the </w:t>
      </w:r>
      <w:r w:rsidRPr="00D339F4">
        <w:rPr>
          <w:iCs/>
        </w:rPr>
        <w:t xml:space="preserve">case of </w:t>
      </w:r>
      <w:r w:rsidRPr="00D339F4">
        <w:rPr>
          <w:i/>
          <w:iCs/>
        </w:rPr>
        <w:t>λ</w:t>
      </w:r>
      <w:r w:rsidRPr="00D339F4">
        <w:rPr>
          <w:i/>
          <w:iCs/>
          <w:vertAlign w:val="subscript"/>
        </w:rPr>
        <w:t>i</w:t>
      </w:r>
      <w:r w:rsidRPr="00D339F4">
        <w:rPr>
          <w:lang w:bidi="te-IN"/>
        </w:rPr>
        <w:t xml:space="preserve"> = 0.5, </w:t>
      </w:r>
      <w:r w:rsidRPr="00D339F4">
        <w:rPr>
          <w:i/>
        </w:rPr>
        <w:t>dS</w:t>
      </w:r>
      <w:r w:rsidRPr="00D339F4">
        <w:t>/</w:t>
      </w:r>
      <w:r w:rsidRPr="00D339F4">
        <w:rPr>
          <w:i/>
        </w:rPr>
        <w:t>d</w:t>
      </w:r>
      <w:r w:rsidRPr="00D339F4">
        <w:rPr>
          <w:i/>
          <w:iCs/>
        </w:rPr>
        <w:t>I</w:t>
      </w:r>
      <w:r w:rsidRPr="00D339F4">
        <w:rPr>
          <w:i/>
          <w:iCs/>
          <w:vertAlign w:val="subscript"/>
        </w:rPr>
        <w:t>a</w:t>
      </w:r>
      <w:r w:rsidRPr="00D339F4">
        <w:t xml:space="preserve"> </w:t>
      </w:r>
      <w:r w:rsidRPr="00D339F4">
        <w:rPr>
          <w:lang w:bidi="te-IN"/>
        </w:rPr>
        <w:t>= -4.2.</w:t>
      </w:r>
    </w:p>
    <w:p w:rsidR="001E1C77" w:rsidRPr="00D339F4" w:rsidRDefault="00D339F4" w:rsidP="001E1C77">
      <w:pPr>
        <w:pStyle w:val="NormalNew"/>
      </w:pPr>
      <w:r w:rsidRPr="00D339F4">
        <w:t>A transfer of storage from</w:t>
      </w:r>
      <w:r w:rsidRPr="00D339F4">
        <w:rPr>
          <w:i/>
          <w:iCs/>
        </w:rPr>
        <w:t xml:space="preserve"> I</w:t>
      </w:r>
      <w:r w:rsidRPr="00D339F4">
        <w:rPr>
          <w:i/>
          <w:iCs/>
          <w:vertAlign w:val="subscript"/>
        </w:rPr>
        <w:t>a</w:t>
      </w:r>
      <w:r w:rsidRPr="00D339F4">
        <w:t xml:space="preserve"> to</w:t>
      </w:r>
      <w:r w:rsidRPr="00D339F4">
        <w:rPr>
          <w:i/>
          <w:iCs/>
        </w:rPr>
        <w:t xml:space="preserve"> S</w:t>
      </w:r>
      <w:r w:rsidRPr="00D339F4">
        <w:t xml:space="preserve"> improves the performance </w:t>
      </w:r>
      <w:r w:rsidRPr="00D339F4">
        <w:rPr>
          <w:lang w:bidi="te-IN"/>
        </w:rPr>
        <w:t xml:space="preserve">in the conventional models (i.e. </w:t>
      </w:r>
      <w:r w:rsidRPr="00D339F4">
        <w:rPr>
          <w:iCs/>
        </w:rPr>
        <w:t>CMλ &gt; CM0.2</w:t>
      </w:r>
      <w:r w:rsidRPr="00D339F4">
        <w:rPr>
          <w:lang w:bidi="te-IN"/>
        </w:rPr>
        <w:t>) because (i) a smaller</w:t>
      </w:r>
      <w:r w:rsidRPr="00D339F4">
        <w:rPr>
          <w:i/>
          <w:iCs/>
        </w:rPr>
        <w:t xml:space="preserve"> I</w:t>
      </w:r>
      <w:r w:rsidRPr="00D339F4">
        <w:rPr>
          <w:i/>
          <w:iCs/>
          <w:vertAlign w:val="subscript"/>
        </w:rPr>
        <w:t>a</w:t>
      </w:r>
      <w:r w:rsidRPr="00D339F4">
        <w:rPr>
          <w:lang w:bidi="te-IN"/>
        </w:rPr>
        <w:t xml:space="preserve"> reduces the percentage of events with falsely predicted zero-runoffs, and (ii) it allows the model to mimic a variable </w:t>
      </w:r>
      <w:r w:rsidRPr="00D339F4">
        <w:rPr>
          <w:i/>
          <w:iCs/>
        </w:rPr>
        <w:t>I</w:t>
      </w:r>
      <w:r w:rsidRPr="00D339F4">
        <w:rPr>
          <w:i/>
          <w:iCs/>
          <w:vertAlign w:val="subscript"/>
        </w:rPr>
        <w:t>a</w:t>
      </w:r>
      <w:r w:rsidRPr="00D339F4">
        <w:rPr>
          <w:lang w:bidi="te-IN"/>
        </w:rPr>
        <w:t>.</w:t>
      </w:r>
      <w:r w:rsidRPr="00D339F4">
        <w:t xml:space="preserve"> Because of a larger </w:t>
      </w:r>
      <w:r w:rsidRPr="00D339F4">
        <w:rPr>
          <w:i/>
          <w:iCs/>
        </w:rPr>
        <w:t>I</w:t>
      </w:r>
      <w:r w:rsidRPr="00D339F4">
        <w:rPr>
          <w:i/>
          <w:iCs/>
          <w:vertAlign w:val="subscript"/>
        </w:rPr>
        <w:t>a</w:t>
      </w:r>
      <w:r w:rsidRPr="00D339F4">
        <w:t xml:space="preserve">, </w:t>
      </w:r>
      <w:r w:rsidRPr="00D339F4">
        <w:rPr>
          <w:iCs/>
        </w:rPr>
        <w:t xml:space="preserve">CM0.2 </w:t>
      </w:r>
      <w:r w:rsidRPr="00D339F4">
        <w:rPr>
          <w:lang w:bidi="te-IN"/>
        </w:rPr>
        <w:t xml:space="preserve">falsely predicted zero-runoffs in 80% of the events for </w:t>
      </w:r>
      <w:r w:rsidRPr="00D339F4">
        <w:rPr>
          <w:i/>
          <w:iCs/>
        </w:rPr>
        <w:t>λ</w:t>
      </w:r>
      <w:r w:rsidRPr="00D339F4">
        <w:rPr>
          <w:i/>
          <w:iCs/>
          <w:vertAlign w:val="subscript"/>
        </w:rPr>
        <w:t>i</w:t>
      </w:r>
      <w:r w:rsidRPr="00D339F4">
        <w:rPr>
          <w:lang w:bidi="te-IN"/>
        </w:rPr>
        <w:t xml:space="preserve"> = 0.2, and in 85% of the events for</w:t>
      </w:r>
      <w:r w:rsidRPr="00D339F4">
        <w:rPr>
          <w:i/>
          <w:iCs/>
        </w:rPr>
        <w:t xml:space="preserve"> λ</w:t>
      </w:r>
      <w:r w:rsidRPr="00D339F4">
        <w:rPr>
          <w:i/>
          <w:iCs/>
          <w:vertAlign w:val="subscript"/>
        </w:rPr>
        <w:t>i</w:t>
      </w:r>
      <w:r w:rsidRPr="00D339F4">
        <w:rPr>
          <w:lang w:bidi="te-IN"/>
        </w:rPr>
        <w:t xml:space="preserve"> = 0.5. In case of </w:t>
      </w:r>
      <w:r w:rsidRPr="00D339F4">
        <w:rPr>
          <w:iCs/>
        </w:rPr>
        <w:t xml:space="preserve">CMλ they dropped to 57% and 81% respectively because its </w:t>
      </w:r>
      <w:r w:rsidRPr="00D339F4">
        <w:rPr>
          <w:i/>
          <w:iCs/>
        </w:rPr>
        <w:t>I</w:t>
      </w:r>
      <w:r w:rsidRPr="00D339F4">
        <w:rPr>
          <w:i/>
          <w:iCs/>
          <w:vertAlign w:val="subscript"/>
        </w:rPr>
        <w:t>a</w:t>
      </w:r>
      <w:r w:rsidRPr="00D339F4">
        <w:rPr>
          <w:iCs/>
        </w:rPr>
        <w:t xml:space="preserve"> was smaller than CM0.2. </w:t>
      </w:r>
      <w:r w:rsidRPr="00D339F4">
        <w:t xml:space="preserve">Mimicking variable </w:t>
      </w:r>
      <w:r w:rsidRPr="00D339F4">
        <w:rPr>
          <w:i/>
          <w:iCs/>
        </w:rPr>
        <w:t>I</w:t>
      </w:r>
      <w:r w:rsidRPr="00D339F4">
        <w:rPr>
          <w:i/>
          <w:iCs/>
          <w:vertAlign w:val="subscript"/>
        </w:rPr>
        <w:t>a</w:t>
      </w:r>
      <w:r w:rsidRPr="00D339F4">
        <w:t xml:space="preserve"> can be explained by considering </w:t>
      </w:r>
      <w:r w:rsidRPr="00D339F4">
        <w:rPr>
          <w:i/>
          <w:iCs/>
        </w:rPr>
        <w:t>I</w:t>
      </w:r>
      <w:r w:rsidRPr="00D339F4">
        <w:rPr>
          <w:i/>
          <w:iCs/>
          <w:vertAlign w:val="subscript"/>
        </w:rPr>
        <w:t>aF</w:t>
      </w:r>
      <w:r w:rsidRPr="00D339F4">
        <w:t xml:space="preserve"> and </w:t>
      </w:r>
      <w:r w:rsidRPr="00D339F4">
        <w:rPr>
          <w:i/>
          <w:iCs/>
        </w:rPr>
        <w:t>F</w:t>
      </w:r>
      <w:r w:rsidRPr="00D339F4">
        <w:t xml:space="preserve">, which are the filled portions of </w:t>
      </w:r>
      <w:r w:rsidRPr="00D339F4">
        <w:rPr>
          <w:i/>
          <w:iCs/>
        </w:rPr>
        <w:t>I</w:t>
      </w:r>
      <w:r w:rsidRPr="00D339F4">
        <w:rPr>
          <w:i/>
          <w:iCs/>
          <w:vertAlign w:val="subscript"/>
        </w:rPr>
        <w:t>a</w:t>
      </w:r>
      <w:r w:rsidRPr="00D339F4">
        <w:t xml:space="preserve"> and</w:t>
      </w:r>
      <w:r w:rsidRPr="00D339F4">
        <w:rPr>
          <w:i/>
          <w:iCs/>
        </w:rPr>
        <w:t xml:space="preserve"> S</w:t>
      </w:r>
      <w:r w:rsidRPr="00D339F4">
        <w:t xml:space="preserve"> respectively. </w:t>
      </w:r>
      <w:r w:rsidRPr="00D339F4">
        <w:rPr>
          <w:i/>
          <w:iCs/>
        </w:rPr>
        <w:t>I</w:t>
      </w:r>
      <w:r w:rsidRPr="00D339F4">
        <w:rPr>
          <w:i/>
          <w:iCs/>
          <w:vertAlign w:val="subscript"/>
        </w:rPr>
        <w:t>aF</w:t>
      </w:r>
      <w:r w:rsidRPr="00D339F4">
        <w:t xml:space="preserve"> and </w:t>
      </w:r>
      <w:r w:rsidRPr="00D339F4">
        <w:rPr>
          <w:i/>
          <w:iCs/>
        </w:rPr>
        <w:t>F</w:t>
      </w:r>
      <w:r w:rsidRPr="00D339F4">
        <w:t xml:space="preserve"> have similar </w:t>
      </w:r>
      <w:r w:rsidRPr="00D339F4">
        <w:lastRenderedPageBreak/>
        <w:t xml:space="preserve">functional relationships with </w:t>
      </w:r>
      <w:r w:rsidRPr="00D339F4">
        <w:rPr>
          <w:i/>
          <w:iCs/>
        </w:rPr>
        <w:t>P</w:t>
      </w:r>
      <w:r w:rsidRPr="00D339F4">
        <w:t xml:space="preserve"> (compare </w:t>
      </w:r>
      <w:r w:rsidR="00B615A2" w:rsidRPr="00B615A2">
        <w:t>Figure</w:t>
      </w:r>
      <w:r w:rsidR="00B615A2" w:rsidRPr="00B615A2">
        <w:rPr>
          <w:noProof/>
        </w:rPr>
        <w:t xml:space="preserve"> 6</w:t>
      </w:r>
      <w:r w:rsidRPr="00D339F4">
        <w:t xml:space="preserve"> to </w:t>
      </w:r>
      <w:r w:rsidR="00B615A2" w:rsidRPr="00B615A2">
        <w:t>Figure 1</w:t>
      </w:r>
      <w:r w:rsidRPr="00D339F4">
        <w:t xml:space="preserve">), i.e. they both increase with </w:t>
      </w:r>
      <w:r w:rsidRPr="00D339F4">
        <w:rPr>
          <w:i/>
          <w:iCs/>
        </w:rPr>
        <w:t>P</w:t>
      </w:r>
      <w:r w:rsidRPr="00D339F4">
        <w:t xml:space="preserve"> and approach a constant for large values of </w:t>
      </w:r>
      <w:r w:rsidRPr="00D339F4">
        <w:rPr>
          <w:i/>
          <w:iCs/>
        </w:rPr>
        <w:t>P</w:t>
      </w:r>
      <w:r w:rsidRPr="00D339F4">
        <w:t xml:space="preserve">. In the conventional CN models, there is no provision to represent </w:t>
      </w:r>
      <w:r w:rsidRPr="00D339F4">
        <w:rPr>
          <w:i/>
          <w:iCs/>
        </w:rPr>
        <w:t>I</w:t>
      </w:r>
      <w:r w:rsidRPr="00D339F4">
        <w:rPr>
          <w:i/>
          <w:iCs/>
          <w:vertAlign w:val="subscript"/>
        </w:rPr>
        <w:t>aF</w:t>
      </w:r>
      <w:r w:rsidRPr="00D339F4">
        <w:t xml:space="preserve"> as a function of </w:t>
      </w:r>
      <w:r w:rsidRPr="00D339F4">
        <w:rPr>
          <w:i/>
          <w:iCs/>
        </w:rPr>
        <w:t>P</w:t>
      </w:r>
      <w:r w:rsidRPr="00D339F4">
        <w:t xml:space="preserve">. However, </w:t>
      </w:r>
      <w:r w:rsidRPr="00D339F4">
        <w:rPr>
          <w:i/>
        </w:rPr>
        <w:t>F</w:t>
      </w:r>
      <w:r w:rsidRPr="00D339F4">
        <w:t xml:space="preserve"> is understood to be a function of </w:t>
      </w:r>
      <w:r w:rsidRPr="00D339F4">
        <w:rPr>
          <w:i/>
        </w:rPr>
        <w:t>P</w:t>
      </w:r>
      <w:r w:rsidRPr="00D339F4">
        <w:t xml:space="preserve"> and is treated as such through eq. </w:t>
      </w:r>
      <w:r w:rsidR="00B615A2" w:rsidRPr="00B615A2">
        <w:t>(2)</w:t>
      </w:r>
      <w:r w:rsidRPr="00D339F4">
        <w:t xml:space="preserve"> and </w:t>
      </w:r>
      <w:r w:rsidR="00B615A2" w:rsidRPr="00B615A2">
        <w:t>Figure 1</w:t>
      </w:r>
      <w:r w:rsidRPr="00D339F4">
        <w:t>. Therefore, by transferring the storage from</w:t>
      </w:r>
      <w:r w:rsidRPr="00D339F4">
        <w:rPr>
          <w:i/>
          <w:iCs/>
        </w:rPr>
        <w:t xml:space="preserve"> I</w:t>
      </w:r>
      <w:r w:rsidRPr="00D339F4">
        <w:rPr>
          <w:i/>
          <w:iCs/>
          <w:vertAlign w:val="subscript"/>
        </w:rPr>
        <w:t>a</w:t>
      </w:r>
      <w:r w:rsidRPr="00D339F4">
        <w:t xml:space="preserve"> to</w:t>
      </w:r>
      <w:r w:rsidRPr="00D339F4">
        <w:rPr>
          <w:i/>
          <w:iCs/>
        </w:rPr>
        <w:t xml:space="preserve"> S</w:t>
      </w:r>
      <w:r w:rsidRPr="00D339F4">
        <w:t xml:space="preserve">, </w:t>
      </w:r>
      <w:r w:rsidRPr="00D339F4">
        <w:rPr>
          <w:iCs/>
        </w:rPr>
        <w:t>CMλ</w:t>
      </w:r>
      <w:r w:rsidRPr="00D339F4">
        <w:t xml:space="preserve"> uses</w:t>
      </w:r>
      <w:r w:rsidRPr="00D339F4">
        <w:rPr>
          <w:i/>
        </w:rPr>
        <w:t xml:space="preserve"> F</w:t>
      </w:r>
      <w:r w:rsidRPr="00D339F4">
        <w:t xml:space="preserve"> as a surrogate for </w:t>
      </w:r>
      <w:r w:rsidRPr="00D339F4">
        <w:rPr>
          <w:i/>
          <w:iCs/>
        </w:rPr>
        <w:t>I</w:t>
      </w:r>
      <w:r w:rsidRPr="00D339F4">
        <w:rPr>
          <w:i/>
          <w:iCs/>
          <w:vertAlign w:val="subscript"/>
        </w:rPr>
        <w:t>aF</w:t>
      </w:r>
      <w:r w:rsidRPr="00D339F4">
        <w:t xml:space="preserve">, thereby partly mimicking the variable nature of </w:t>
      </w:r>
      <w:r w:rsidRPr="00D339F4">
        <w:rPr>
          <w:i/>
          <w:iCs/>
        </w:rPr>
        <w:t>I</w:t>
      </w:r>
      <w:r w:rsidRPr="00D339F4">
        <w:rPr>
          <w:i/>
          <w:iCs/>
          <w:vertAlign w:val="subscript"/>
        </w:rPr>
        <w:t>aF</w:t>
      </w:r>
      <w:r w:rsidRPr="00D339F4">
        <w:t>.</w:t>
      </w:r>
    </w:p>
    <w:p w:rsidR="00D339F4" w:rsidRDefault="00D339F4" w:rsidP="001E1C77">
      <w:pPr>
        <w:pStyle w:val="NormalNew"/>
        <w:rPr>
          <w:iCs/>
        </w:rPr>
      </w:pPr>
      <w:r w:rsidRPr="00D339F4">
        <w:t>Storage transfer from</w:t>
      </w:r>
      <w:r w:rsidRPr="00D339F4">
        <w:rPr>
          <w:i/>
          <w:iCs/>
        </w:rPr>
        <w:t xml:space="preserve"> I</w:t>
      </w:r>
      <w:r w:rsidRPr="00D339F4">
        <w:rPr>
          <w:i/>
          <w:iCs/>
          <w:vertAlign w:val="subscript"/>
        </w:rPr>
        <w:t>a</w:t>
      </w:r>
      <w:r w:rsidRPr="00D339F4">
        <w:t xml:space="preserve"> to</w:t>
      </w:r>
      <w:r w:rsidRPr="00D339F4">
        <w:rPr>
          <w:i/>
          <w:iCs/>
        </w:rPr>
        <w:t xml:space="preserve"> S</w:t>
      </w:r>
      <w:r w:rsidRPr="00D339F4">
        <w:t xml:space="preserve"> also causes a decrease in </w:t>
      </w:r>
      <w:r w:rsidRPr="00D339F4">
        <w:rPr>
          <w:i/>
          <w:iCs/>
        </w:rPr>
        <w:t>λ</w:t>
      </w:r>
      <w:r w:rsidRPr="00D339F4">
        <w:rPr>
          <w:i/>
          <w:iCs/>
          <w:vertAlign w:val="subscript"/>
        </w:rPr>
        <w:t>W</w:t>
      </w:r>
      <w:r w:rsidRPr="00D339F4">
        <w:t xml:space="preserve"> (</w:t>
      </w:r>
      <w:r w:rsidR="00B615A2" w:rsidRPr="00B615A2">
        <w:t>Table 3</w:t>
      </w:r>
      <w:r w:rsidRPr="00D339F4">
        <w:t xml:space="preserve">). Conversely, when </w:t>
      </w:r>
      <w:r w:rsidRPr="00D339F4">
        <w:rPr>
          <w:i/>
          <w:iCs/>
        </w:rPr>
        <w:t>λ</w:t>
      </w:r>
      <w:r w:rsidRPr="00D339F4">
        <w:rPr>
          <w:i/>
          <w:iCs/>
          <w:vertAlign w:val="subscript"/>
        </w:rPr>
        <w:t>W</w:t>
      </w:r>
      <w:r w:rsidRPr="00D339F4">
        <w:t xml:space="preserve"> decreases, storage is transferred from</w:t>
      </w:r>
      <w:r w:rsidRPr="00D339F4">
        <w:rPr>
          <w:i/>
          <w:iCs/>
        </w:rPr>
        <w:t xml:space="preserve"> I</w:t>
      </w:r>
      <w:r w:rsidRPr="00D339F4">
        <w:rPr>
          <w:i/>
          <w:iCs/>
          <w:vertAlign w:val="subscript"/>
        </w:rPr>
        <w:t>a</w:t>
      </w:r>
      <w:r w:rsidRPr="00D339F4">
        <w:t xml:space="preserve"> to</w:t>
      </w:r>
      <w:r w:rsidRPr="00D339F4">
        <w:rPr>
          <w:i/>
          <w:iCs/>
        </w:rPr>
        <w:t xml:space="preserve"> S</w:t>
      </w:r>
      <w:r w:rsidRPr="00D339F4">
        <w:t xml:space="preserve">. This is important because several studies (Baltas et al., 2007; D’Asaro and Grillone, 2012; Shi et al., 2009; Woodward et al., 2003) found that the optimal value of </w:t>
      </w:r>
      <w:r w:rsidRPr="00D339F4">
        <w:rPr>
          <w:i/>
          <w:iCs/>
        </w:rPr>
        <w:t>λ</w:t>
      </w:r>
      <w:r w:rsidRPr="00D339F4">
        <w:rPr>
          <w:i/>
          <w:iCs/>
          <w:vertAlign w:val="subscript"/>
        </w:rPr>
        <w:t>W</w:t>
      </w:r>
      <w:r w:rsidRPr="00D339F4">
        <w:t xml:space="preserve"> was much less than 0.2, and even close to zero in many watersheds. This shows that there is a positive correlation between a decrease in </w:t>
      </w:r>
      <w:r w:rsidRPr="00D339F4">
        <w:rPr>
          <w:i/>
          <w:iCs/>
        </w:rPr>
        <w:t>λ</w:t>
      </w:r>
      <w:r w:rsidRPr="00D339F4">
        <w:rPr>
          <w:i/>
          <w:iCs/>
          <w:vertAlign w:val="subscript"/>
        </w:rPr>
        <w:t>W</w:t>
      </w:r>
      <w:r w:rsidRPr="00D339F4">
        <w:t>, storage transfer from</w:t>
      </w:r>
      <w:r w:rsidRPr="00D339F4">
        <w:rPr>
          <w:i/>
          <w:iCs/>
        </w:rPr>
        <w:t xml:space="preserve"> I</w:t>
      </w:r>
      <w:r w:rsidRPr="00D339F4">
        <w:rPr>
          <w:i/>
          <w:iCs/>
          <w:vertAlign w:val="subscript"/>
        </w:rPr>
        <w:t>a</w:t>
      </w:r>
      <w:r w:rsidRPr="00D339F4">
        <w:t xml:space="preserve"> to</w:t>
      </w:r>
      <w:r w:rsidRPr="00D339F4">
        <w:rPr>
          <w:i/>
          <w:iCs/>
        </w:rPr>
        <w:t xml:space="preserve"> S</w:t>
      </w:r>
      <w:r w:rsidRPr="00D339F4">
        <w:rPr>
          <w:iCs/>
        </w:rPr>
        <w:t>, and a general increase in model performance for the reasons mentioned above.</w:t>
      </w:r>
    </w:p>
    <w:p w:rsidR="0086119C" w:rsidRDefault="0086119C" w:rsidP="0086119C">
      <w:pPr>
        <w:pStyle w:val="Heading3"/>
      </w:pPr>
      <w:r>
        <w:t>6.2. Application to Real Watersheds</w:t>
      </w:r>
    </w:p>
    <w:p w:rsidR="0086119C" w:rsidRDefault="007B7C00" w:rsidP="0086119C">
      <w:pPr>
        <w:pStyle w:val="NormalNew"/>
      </w:pPr>
      <w:r>
        <w:rPr>
          <w:iCs/>
        </w:rPr>
        <w:t>The models were also evaluated using rainfall-runoff observations from 9</w:t>
      </w:r>
      <w:r w:rsidRPr="0069576E">
        <w:rPr>
          <w:iCs/>
        </w:rPr>
        <w:t xml:space="preserve"> </w:t>
      </w:r>
      <w:r>
        <w:rPr>
          <w:iCs/>
        </w:rPr>
        <w:t xml:space="preserve">real </w:t>
      </w:r>
      <w:r w:rsidRPr="0069576E">
        <w:rPr>
          <w:iCs/>
        </w:rPr>
        <w:t xml:space="preserve">watersheds </w:t>
      </w:r>
      <w:r>
        <w:rPr>
          <w:iCs/>
        </w:rPr>
        <w:t>located in</w:t>
      </w:r>
      <w:r w:rsidRPr="0069576E">
        <w:rPr>
          <w:iCs/>
        </w:rPr>
        <w:t xml:space="preserve"> different parts of the world</w:t>
      </w:r>
      <w:r>
        <w:rPr>
          <w:iCs/>
        </w:rPr>
        <w:t xml:space="preserve"> </w:t>
      </w:r>
      <w:r>
        <w:t>(Santikari, 2017; Santikari and Murdoch, 2018)</w:t>
      </w:r>
      <w:r>
        <w:rPr>
          <w:iCs/>
        </w:rPr>
        <w:t xml:space="preserve">. Models’ ability to predict the observed runoff was assessed using </w:t>
      </w:r>
      <w:r w:rsidRPr="00D339F4">
        <w:t>NSE</w:t>
      </w:r>
      <w:r w:rsidRPr="00D339F4">
        <w:rPr>
          <w:i/>
          <w:vertAlign w:val="subscript"/>
        </w:rPr>
        <w:t>Q</w:t>
      </w:r>
      <w:r>
        <w:rPr>
          <w:iCs/>
        </w:rPr>
        <w:t>. Results show that in all the watersheds VIMs performed better than CMs but the difference in performance, ∆</w:t>
      </w:r>
      <w:r w:rsidRPr="00D339F4">
        <w:t>NSE</w:t>
      </w:r>
      <w:r w:rsidRPr="00D339F4">
        <w:rPr>
          <w:i/>
          <w:vertAlign w:val="subscript"/>
        </w:rPr>
        <w:t>Q</w:t>
      </w:r>
      <w:r>
        <w:rPr>
          <w:iCs/>
        </w:rPr>
        <w:t xml:space="preserve">, varied across the watersheds. Between </w:t>
      </w:r>
      <w:r w:rsidRPr="00D339F4">
        <w:rPr>
          <w:iCs/>
        </w:rPr>
        <w:t xml:space="preserve">VIMλ </w:t>
      </w:r>
      <w:r>
        <w:rPr>
          <w:iCs/>
        </w:rPr>
        <w:t xml:space="preserve">and </w:t>
      </w:r>
      <w:r w:rsidRPr="00D339F4">
        <w:t>CM0.2</w:t>
      </w:r>
      <w:r>
        <w:t xml:space="preserve">, </w:t>
      </w:r>
      <w:r>
        <w:rPr>
          <w:iCs/>
        </w:rPr>
        <w:t>∆</w:t>
      </w:r>
      <w:r w:rsidRPr="00D339F4">
        <w:t>NSE</w:t>
      </w:r>
      <w:r w:rsidRPr="00D339F4">
        <w:rPr>
          <w:i/>
          <w:vertAlign w:val="subscript"/>
        </w:rPr>
        <w:t>Q</w:t>
      </w:r>
      <w:r>
        <w:t xml:space="preserve"> &lt; 0.05 in one watershed, 0.05 ≤ </w:t>
      </w:r>
      <w:r>
        <w:rPr>
          <w:iCs/>
        </w:rPr>
        <w:t>∆</w:t>
      </w:r>
      <w:r w:rsidRPr="00D339F4">
        <w:t>NSE</w:t>
      </w:r>
      <w:r w:rsidRPr="00D339F4">
        <w:rPr>
          <w:i/>
          <w:vertAlign w:val="subscript"/>
        </w:rPr>
        <w:t>Q</w:t>
      </w:r>
      <w:r>
        <w:t xml:space="preserve"> &lt; 0.7 in 6 watersheds, and </w:t>
      </w:r>
      <w:r>
        <w:rPr>
          <w:iCs/>
        </w:rPr>
        <w:t>∆</w:t>
      </w:r>
      <w:r w:rsidRPr="00D339F4">
        <w:t>NSE</w:t>
      </w:r>
      <w:r w:rsidRPr="00D339F4">
        <w:rPr>
          <w:i/>
          <w:vertAlign w:val="subscript"/>
        </w:rPr>
        <w:t>Q</w:t>
      </w:r>
      <w:r>
        <w:t xml:space="preserve"> ≥ 0.7 in 2 watersheds. </w:t>
      </w:r>
      <w:r>
        <w:rPr>
          <w:iCs/>
        </w:rPr>
        <w:t xml:space="preserve">Between </w:t>
      </w:r>
      <w:r w:rsidRPr="00D339F4">
        <w:rPr>
          <w:iCs/>
        </w:rPr>
        <w:t xml:space="preserve">VIMλ </w:t>
      </w:r>
      <w:r>
        <w:rPr>
          <w:iCs/>
        </w:rPr>
        <w:t xml:space="preserve">and </w:t>
      </w:r>
      <w:r w:rsidRPr="00D339F4">
        <w:rPr>
          <w:iCs/>
        </w:rPr>
        <w:t>CMλ</w:t>
      </w:r>
      <w:r>
        <w:t xml:space="preserve">, </w:t>
      </w:r>
      <w:r>
        <w:rPr>
          <w:iCs/>
        </w:rPr>
        <w:t>∆</w:t>
      </w:r>
      <w:r w:rsidRPr="00D339F4">
        <w:t>NSE</w:t>
      </w:r>
      <w:r w:rsidRPr="00D339F4">
        <w:rPr>
          <w:i/>
          <w:vertAlign w:val="subscript"/>
        </w:rPr>
        <w:t>Q</w:t>
      </w:r>
      <w:r>
        <w:t xml:space="preserve"> &lt; 0.05 in 3 watersheds, 0.05 ≤ </w:t>
      </w:r>
      <w:r>
        <w:rPr>
          <w:iCs/>
        </w:rPr>
        <w:t>∆</w:t>
      </w:r>
      <w:r w:rsidRPr="00D339F4">
        <w:t>NSE</w:t>
      </w:r>
      <w:r w:rsidRPr="00D339F4">
        <w:rPr>
          <w:i/>
          <w:vertAlign w:val="subscript"/>
        </w:rPr>
        <w:t>Q</w:t>
      </w:r>
      <w:r>
        <w:t xml:space="preserve"> &lt; 0.1 in 4 watersheds, and </w:t>
      </w:r>
      <w:r>
        <w:rPr>
          <w:iCs/>
        </w:rPr>
        <w:t>∆</w:t>
      </w:r>
      <w:r w:rsidRPr="00D339F4">
        <w:t>NSE</w:t>
      </w:r>
      <w:r w:rsidRPr="00D339F4">
        <w:rPr>
          <w:i/>
          <w:vertAlign w:val="subscript"/>
        </w:rPr>
        <w:t>Q</w:t>
      </w:r>
      <w:r>
        <w:t xml:space="preserve"> ≥ 0.1 in 2 watersheds. </w:t>
      </w:r>
      <w:r w:rsidRPr="00D339F4">
        <w:t>Based on their performance, the models can be arranged from the best to the wor</w:t>
      </w:r>
      <w:r>
        <w:t>st as VIMλ &gt; VIMS &gt; CMλ &gt; CM0.2, which is consistent with results from their application to the synthetic watershed.</w:t>
      </w:r>
    </w:p>
    <w:p w:rsidR="0086119C" w:rsidRDefault="0086119C" w:rsidP="0086119C">
      <w:pPr>
        <w:pStyle w:val="Heading3"/>
      </w:pPr>
      <w:r>
        <w:t>6.3. Effect of Degree of Heterogeneity</w:t>
      </w:r>
    </w:p>
    <w:p w:rsidR="007C51DD" w:rsidRDefault="0086119C" w:rsidP="007C51DD">
      <w:pPr>
        <w:pStyle w:val="NormalNew"/>
      </w:pPr>
      <w:r>
        <w:t xml:space="preserve">The </w:t>
      </w:r>
      <w:r w:rsidR="007C51DD">
        <w:t xml:space="preserve">degree of </w:t>
      </w:r>
      <w:bookmarkStart w:id="91" w:name="_Hlk502984589"/>
      <w:r w:rsidR="007C51DD">
        <w:t>heterogeneity</w:t>
      </w:r>
      <w:bookmarkEnd w:id="91"/>
      <w:r w:rsidR="007C51DD">
        <w:t xml:space="preserve">, defined as the sharpness of change in CN, </w:t>
      </w:r>
      <w:r w:rsidR="007C51DD" w:rsidRPr="00D339F4">
        <w:rPr>
          <w:i/>
          <w:iCs/>
        </w:rPr>
        <w:t>I</w:t>
      </w:r>
      <w:r w:rsidR="007C51DD" w:rsidRPr="00D339F4">
        <w:rPr>
          <w:i/>
          <w:iCs/>
          <w:vertAlign w:val="subscript"/>
        </w:rPr>
        <w:t>a</w:t>
      </w:r>
      <w:r w:rsidR="007C51DD">
        <w:t>, or</w:t>
      </w:r>
      <w:r w:rsidR="007C51DD" w:rsidRPr="00D339F4">
        <w:rPr>
          <w:i/>
          <w:iCs/>
        </w:rPr>
        <w:t xml:space="preserve"> S</w:t>
      </w:r>
      <w:r w:rsidR="007C51DD">
        <w:t xml:space="preserve"> between the HRUs, may affect the relative performance of the models. To verify this, the degree of heterogeneity of the synthetic watershed (Table 2) was increased by doubling the values of </w:t>
      </w:r>
      <w:r w:rsidR="007C51DD" w:rsidRPr="00D339F4">
        <w:rPr>
          <w:i/>
        </w:rPr>
        <w:t>S</w:t>
      </w:r>
      <w:r w:rsidR="007C51DD" w:rsidRPr="00D339F4">
        <w:rPr>
          <w:i/>
          <w:vertAlign w:val="subscript"/>
        </w:rPr>
        <w:t>i</w:t>
      </w:r>
      <w:r w:rsidR="007C51DD">
        <w:t xml:space="preserve"> for HRUs 3 and 4 while the others were left unchanged, i.e. the modified distribution was </w:t>
      </w:r>
      <w:r w:rsidR="007C51DD" w:rsidRPr="00D339F4">
        <w:rPr>
          <w:i/>
        </w:rPr>
        <w:t>S</w:t>
      </w:r>
      <w:r w:rsidR="007C51DD">
        <w:rPr>
          <w:vertAlign w:val="subscript"/>
        </w:rPr>
        <w:t>0</w:t>
      </w:r>
      <w:r w:rsidR="007C51DD">
        <w:t xml:space="preserve"> = 0 mm, </w:t>
      </w:r>
      <w:r w:rsidR="007C51DD" w:rsidRPr="00D339F4">
        <w:rPr>
          <w:i/>
        </w:rPr>
        <w:t>S</w:t>
      </w:r>
      <w:r w:rsidR="007C51DD">
        <w:rPr>
          <w:vertAlign w:val="subscript"/>
        </w:rPr>
        <w:t>1</w:t>
      </w:r>
      <w:r w:rsidR="007C51DD">
        <w:t xml:space="preserve"> = 50 mm, </w:t>
      </w:r>
      <w:r w:rsidR="007C51DD" w:rsidRPr="00D339F4">
        <w:rPr>
          <w:i/>
        </w:rPr>
        <w:t>S</w:t>
      </w:r>
      <w:r w:rsidR="007C51DD">
        <w:rPr>
          <w:vertAlign w:val="subscript"/>
        </w:rPr>
        <w:t>2</w:t>
      </w:r>
      <w:r w:rsidR="007C51DD">
        <w:t xml:space="preserve"> = 100 mm, </w:t>
      </w:r>
      <w:r w:rsidR="007C51DD" w:rsidRPr="00D339F4">
        <w:rPr>
          <w:i/>
        </w:rPr>
        <w:t>S</w:t>
      </w:r>
      <w:r w:rsidR="007C51DD">
        <w:rPr>
          <w:vertAlign w:val="subscript"/>
        </w:rPr>
        <w:t>3</w:t>
      </w:r>
      <w:r w:rsidR="007C51DD">
        <w:t xml:space="preserve"> = 300 mm, and </w:t>
      </w:r>
      <w:r w:rsidR="007C51DD" w:rsidRPr="00D339F4">
        <w:rPr>
          <w:i/>
        </w:rPr>
        <w:t>S</w:t>
      </w:r>
      <w:r w:rsidR="007C51DD">
        <w:rPr>
          <w:vertAlign w:val="subscript"/>
        </w:rPr>
        <w:t>4</w:t>
      </w:r>
      <w:r w:rsidR="007C51DD">
        <w:t xml:space="preserve"> = 400 mm. The models were applied to this modified synthetic watershed, </w:t>
      </w:r>
      <w:r w:rsidR="007C51DD" w:rsidRPr="00D339F4">
        <w:rPr>
          <w:lang w:bidi="te-IN"/>
        </w:rPr>
        <w:t>for the cases of</w:t>
      </w:r>
      <w:r w:rsidR="007C51DD" w:rsidRPr="00D339F4">
        <w:rPr>
          <w:i/>
          <w:iCs/>
        </w:rPr>
        <w:t xml:space="preserve"> λ</w:t>
      </w:r>
      <w:r w:rsidR="007C51DD" w:rsidRPr="00D339F4">
        <w:rPr>
          <w:i/>
          <w:iCs/>
          <w:vertAlign w:val="subscript"/>
        </w:rPr>
        <w:t>i</w:t>
      </w:r>
      <w:r w:rsidR="007C51DD">
        <w:rPr>
          <w:lang w:bidi="te-IN"/>
        </w:rPr>
        <w:t xml:space="preserve"> = 0.2</w:t>
      </w:r>
      <w:r w:rsidR="007C51DD" w:rsidRPr="00D339F4">
        <w:rPr>
          <w:lang w:bidi="te-IN"/>
        </w:rPr>
        <w:t xml:space="preserve"> and 0.5</w:t>
      </w:r>
      <w:r w:rsidR="007C51DD">
        <w:rPr>
          <w:lang w:bidi="te-IN"/>
        </w:rPr>
        <w:t>,</w:t>
      </w:r>
      <w:r w:rsidR="007C51DD">
        <w:t xml:space="preserve"> and their performances were </w:t>
      </w:r>
      <w:bookmarkStart w:id="92" w:name="_Hlk502984867"/>
      <w:r w:rsidR="007C51DD">
        <w:t xml:space="preserve">assessed using </w:t>
      </w:r>
      <w:r w:rsidR="007C51DD" w:rsidRPr="00021802">
        <w:t>rNSE</w:t>
      </w:r>
      <w:r w:rsidR="007C51DD" w:rsidRPr="00021802">
        <w:rPr>
          <w:i/>
          <w:vertAlign w:val="subscript"/>
        </w:rPr>
        <w:t>Q</w:t>
      </w:r>
      <w:r w:rsidR="007C51DD">
        <w:t xml:space="preserve"> and </w:t>
      </w:r>
      <w:r w:rsidR="007C51DD" w:rsidRPr="00D339F4">
        <w:t>S</w:t>
      </w:r>
      <w:r w:rsidR="007C51DD">
        <w:t>E</w:t>
      </w:r>
      <w:r w:rsidR="007C51DD" w:rsidRPr="00D339F4">
        <w:t>E</w:t>
      </w:r>
      <w:r w:rsidR="007C51DD" w:rsidRPr="00D339F4">
        <w:rPr>
          <w:i/>
          <w:vertAlign w:val="subscript"/>
        </w:rPr>
        <w:t>Q</w:t>
      </w:r>
      <w:bookmarkEnd w:id="92"/>
      <w:r w:rsidR="007C51DD">
        <w:t>.</w:t>
      </w:r>
    </w:p>
    <w:p w:rsidR="0086119C" w:rsidRDefault="007C51DD" w:rsidP="007C51DD">
      <w:pPr>
        <w:pStyle w:val="NormalNew"/>
      </w:pPr>
      <w:r>
        <w:t>Comparing the results (Tables 3 and 4) shows that the performance of VIMs remained nearly the same, whereas the performance</w:t>
      </w:r>
      <w:r w:rsidRPr="00AE7A8B">
        <w:t xml:space="preserve"> </w:t>
      </w:r>
      <w:r>
        <w:t xml:space="preserve">of </w:t>
      </w:r>
      <w:r w:rsidRPr="00D339F4">
        <w:t>CM0.2</w:t>
      </w:r>
      <w:r>
        <w:t xml:space="preserve"> decreased and that of </w:t>
      </w:r>
      <w:r w:rsidRPr="00D339F4">
        <w:rPr>
          <w:iCs/>
        </w:rPr>
        <w:t>CMλ</w:t>
      </w:r>
      <w:r>
        <w:t xml:space="preserve"> increased. The relative order of performance remained unchanged, i.e. VIMλ &gt; VIMS &gt; CMλ &gt; CM0.2.</w:t>
      </w:r>
    </w:p>
    <w:p w:rsidR="0086119C" w:rsidRDefault="0086119C" w:rsidP="0086119C">
      <w:pPr>
        <w:pStyle w:val="NormalNew"/>
      </w:pPr>
      <w:r>
        <w:t>The results from real watersheds (</w:t>
      </w:r>
      <w:r w:rsidR="00DB2DB4">
        <w:t xml:space="preserve">Santikari, 2017; </w:t>
      </w:r>
      <w:r>
        <w:t>Santikari and Murdoch, 2018) also show that the performance</w:t>
      </w:r>
      <w:r w:rsidRPr="00AE7A8B">
        <w:t xml:space="preserve"> </w:t>
      </w:r>
      <w:r>
        <w:t xml:space="preserve">of </w:t>
      </w:r>
      <w:r w:rsidRPr="00D339F4">
        <w:t>CM0.2</w:t>
      </w:r>
      <w:r>
        <w:t xml:space="preserve"> was poor, </w:t>
      </w:r>
      <w:r w:rsidRPr="00D339F4">
        <w:t>NSE</w:t>
      </w:r>
      <w:r w:rsidRPr="00D339F4">
        <w:rPr>
          <w:i/>
          <w:vertAlign w:val="subscript"/>
        </w:rPr>
        <w:t>Q</w:t>
      </w:r>
      <w:r>
        <w:t xml:space="preserve"> &lt; 0.25, in watersheds with a sharp change in CN. Therefore, CM0.2 is unsuitable when the degree of heterogeneity is large. CMλ performed moderately well on synthetic and real watersheds with a large degree of heterogeneity, possibly by transferring the storage (Section 6.1). So, CMλ is suitable for predicting overall runoff, but unreliable for predicting </w:t>
      </w:r>
      <w:r>
        <w:lastRenderedPageBreak/>
        <w:t>heterogeneity or runoff from small events. VIMs outperformed CMλ in synthetic (Table 4) as well as real watersheds (</w:t>
      </w:r>
      <w:r w:rsidR="00DB2DB4">
        <w:t xml:space="preserve">Santikari, 2017; </w:t>
      </w:r>
      <w:r>
        <w:t>Santikari and Murdoch, 2018) with a large degree of heterogeneity, and therefore they are more reliable.</w:t>
      </w:r>
    </w:p>
    <w:p w:rsidR="00DB2DB4" w:rsidRPr="00536C7A" w:rsidRDefault="0086119C" w:rsidP="00DB2DB4">
      <w:pPr>
        <w:keepNext/>
        <w:spacing w:after="200"/>
        <w:rPr>
          <w:rFonts w:eastAsia="Calibri"/>
          <w:bCs/>
          <w:sz w:val="20"/>
          <w:szCs w:val="20"/>
        </w:rPr>
      </w:pPr>
      <w:r w:rsidRPr="00536C7A">
        <w:rPr>
          <w:rFonts w:eastAsia="Calibri"/>
          <w:b/>
          <w:bCs/>
          <w:sz w:val="20"/>
          <w:szCs w:val="20"/>
        </w:rPr>
        <w:t xml:space="preserve">Table </w:t>
      </w:r>
      <w:r>
        <w:rPr>
          <w:rFonts w:eastAsia="Calibri"/>
          <w:b/>
          <w:bCs/>
          <w:sz w:val="20"/>
          <w:szCs w:val="20"/>
        </w:rPr>
        <w:t>4</w:t>
      </w:r>
      <w:r w:rsidRPr="00536C7A">
        <w:rPr>
          <w:rFonts w:eastAsia="Calibri"/>
          <w:b/>
          <w:bCs/>
          <w:sz w:val="20"/>
          <w:szCs w:val="20"/>
        </w:rPr>
        <w:t>.</w:t>
      </w:r>
      <w:r>
        <w:rPr>
          <w:rFonts w:eastAsia="Calibri"/>
          <w:bCs/>
          <w:sz w:val="20"/>
          <w:szCs w:val="20"/>
        </w:rPr>
        <w:t xml:space="preserve"> </w:t>
      </w:r>
      <w:bookmarkStart w:id="93" w:name="_Hlk511144006"/>
      <w:r>
        <w:rPr>
          <w:rFonts w:eastAsia="Calibri"/>
          <w:bCs/>
          <w:sz w:val="20"/>
          <w:szCs w:val="20"/>
        </w:rPr>
        <w:t xml:space="preserve">Performance of the models </w:t>
      </w:r>
      <w:r w:rsidRPr="0015382E">
        <w:rPr>
          <w:rFonts w:eastAsia="Calibri"/>
          <w:bCs/>
          <w:sz w:val="20"/>
          <w:szCs w:val="20"/>
        </w:rPr>
        <w:t>for the cases of</w:t>
      </w:r>
      <w:r w:rsidRPr="0015382E">
        <w:rPr>
          <w:rFonts w:eastAsia="Calibri"/>
          <w:bCs/>
          <w:i/>
          <w:iCs/>
          <w:sz w:val="20"/>
          <w:szCs w:val="20"/>
        </w:rPr>
        <w:t xml:space="preserve"> λ</w:t>
      </w:r>
      <w:r w:rsidRPr="0015382E">
        <w:rPr>
          <w:rFonts w:eastAsia="Calibri"/>
          <w:bCs/>
          <w:i/>
          <w:iCs/>
          <w:sz w:val="20"/>
          <w:szCs w:val="20"/>
          <w:vertAlign w:val="subscript"/>
        </w:rPr>
        <w:t>i</w:t>
      </w:r>
      <w:r w:rsidRPr="0015382E">
        <w:rPr>
          <w:rFonts w:eastAsia="Calibri"/>
          <w:bCs/>
          <w:sz w:val="20"/>
          <w:szCs w:val="20"/>
        </w:rPr>
        <w:t xml:space="preserve"> = 0.2 and 0.5</w:t>
      </w:r>
      <w:r>
        <w:rPr>
          <w:rFonts w:eastAsia="Calibri"/>
          <w:bCs/>
          <w:sz w:val="20"/>
          <w:szCs w:val="20"/>
        </w:rPr>
        <w:t xml:space="preserve">, when the degree of </w:t>
      </w:r>
      <w:r w:rsidRPr="00B15115">
        <w:rPr>
          <w:rFonts w:eastAsia="Calibri"/>
          <w:bCs/>
          <w:sz w:val="20"/>
          <w:szCs w:val="20"/>
        </w:rPr>
        <w:t>heterogeneity</w:t>
      </w:r>
      <w:r>
        <w:rPr>
          <w:rFonts w:eastAsia="Calibri"/>
          <w:bCs/>
          <w:sz w:val="20"/>
          <w:szCs w:val="20"/>
        </w:rPr>
        <w:t xml:space="preserve"> in the</w:t>
      </w:r>
      <w:r w:rsidRPr="00B15115">
        <w:rPr>
          <w:rFonts w:eastAsia="Calibri"/>
          <w:bCs/>
          <w:sz w:val="20"/>
          <w:szCs w:val="20"/>
        </w:rPr>
        <w:t xml:space="preserve"> synthetic watershed</w:t>
      </w:r>
      <w:r>
        <w:rPr>
          <w:rFonts w:eastAsia="Calibri"/>
          <w:bCs/>
          <w:sz w:val="20"/>
          <w:szCs w:val="20"/>
        </w:rPr>
        <w:t xml:space="preserve"> (Table 2) was </w:t>
      </w:r>
      <w:r w:rsidRPr="00DB2DB4">
        <w:rPr>
          <w:rFonts w:eastAsia="Calibri"/>
          <w:bCs/>
          <w:sz w:val="20"/>
          <w:szCs w:val="20"/>
        </w:rPr>
        <w:t xml:space="preserve">increased by doubling the values of </w:t>
      </w:r>
      <w:r w:rsidRPr="00DB2DB4">
        <w:rPr>
          <w:rFonts w:eastAsia="Calibri"/>
          <w:bCs/>
          <w:i/>
          <w:sz w:val="20"/>
          <w:szCs w:val="20"/>
        </w:rPr>
        <w:t>S</w:t>
      </w:r>
      <w:r w:rsidRPr="00DB2DB4">
        <w:rPr>
          <w:rFonts w:eastAsia="Calibri"/>
          <w:bCs/>
          <w:i/>
          <w:sz w:val="20"/>
          <w:szCs w:val="20"/>
          <w:vertAlign w:val="subscript"/>
        </w:rPr>
        <w:t>i</w:t>
      </w:r>
      <w:r w:rsidRPr="00DB2DB4">
        <w:rPr>
          <w:rFonts w:eastAsia="Calibri"/>
          <w:bCs/>
          <w:sz w:val="20"/>
          <w:szCs w:val="20"/>
        </w:rPr>
        <w:t xml:space="preserve"> for HRUs 3 and 4.</w:t>
      </w:r>
      <w:bookmarkEnd w:id="93"/>
    </w:p>
    <w:tbl>
      <w:tblPr>
        <w:tblStyle w:val="TableGrid3"/>
        <w:tblW w:w="5850" w:type="dxa"/>
        <w:jc w:val="center"/>
        <w:tblLayout w:type="fixed"/>
        <w:tblLook w:val="04A0" w:firstRow="1" w:lastRow="0" w:firstColumn="1" w:lastColumn="0" w:noHBand="0" w:noVBand="1"/>
      </w:tblPr>
      <w:tblGrid>
        <w:gridCol w:w="990"/>
        <w:gridCol w:w="1034"/>
        <w:gridCol w:w="1216"/>
        <w:gridCol w:w="270"/>
        <w:gridCol w:w="1170"/>
        <w:gridCol w:w="1170"/>
      </w:tblGrid>
      <w:tr w:rsidR="00DB2DB4" w:rsidRPr="00536C7A" w:rsidTr="00F4624A">
        <w:trPr>
          <w:trHeight w:hRule="exact" w:val="576"/>
          <w:jc w:val="center"/>
        </w:trPr>
        <w:tc>
          <w:tcPr>
            <w:tcW w:w="990" w:type="dxa"/>
            <w:vMerge w:val="restart"/>
            <w:tcBorders>
              <w:left w:val="nil"/>
              <w:right w:val="nil"/>
            </w:tcBorders>
          </w:tcPr>
          <w:p w:rsidR="00DB2DB4" w:rsidRPr="00536C7A" w:rsidRDefault="00DB2DB4" w:rsidP="00F4624A">
            <w:pPr>
              <w:spacing w:before="240" w:line="276" w:lineRule="auto"/>
              <w:rPr>
                <w:rFonts w:eastAsia="Calibri"/>
                <w:sz w:val="20"/>
                <w:szCs w:val="20"/>
              </w:rPr>
            </w:pPr>
            <w:r>
              <w:rPr>
                <w:rFonts w:eastAsia="Calibri"/>
                <w:sz w:val="20"/>
                <w:szCs w:val="20"/>
              </w:rPr>
              <w:t>Lumped Model</w:t>
            </w:r>
          </w:p>
        </w:tc>
        <w:tc>
          <w:tcPr>
            <w:tcW w:w="2250" w:type="dxa"/>
            <w:gridSpan w:val="2"/>
            <w:tcBorders>
              <w:left w:val="nil"/>
              <w:bottom w:val="single" w:sz="4" w:space="0" w:color="000000"/>
              <w:right w:val="nil"/>
            </w:tcBorders>
          </w:tcPr>
          <w:p w:rsidR="00DB2DB4" w:rsidRPr="00536C7A" w:rsidRDefault="00DB2DB4" w:rsidP="00F4624A">
            <w:pPr>
              <w:spacing w:before="240"/>
              <w:jc w:val="center"/>
              <w:rPr>
                <w:rFonts w:eastAsia="Calibri"/>
                <w:iCs/>
                <w:sz w:val="20"/>
                <w:szCs w:val="20"/>
              </w:rPr>
            </w:pPr>
            <w:r w:rsidRPr="0015382E">
              <w:rPr>
                <w:rFonts w:eastAsia="Calibri"/>
                <w:bCs/>
                <w:i/>
                <w:iCs/>
                <w:sz w:val="20"/>
                <w:szCs w:val="20"/>
              </w:rPr>
              <w:t>λ</w:t>
            </w:r>
            <w:r w:rsidRPr="0015382E">
              <w:rPr>
                <w:rFonts w:eastAsia="Calibri"/>
                <w:bCs/>
                <w:i/>
                <w:iCs/>
                <w:sz w:val="20"/>
                <w:szCs w:val="20"/>
                <w:vertAlign w:val="subscript"/>
              </w:rPr>
              <w:t>i</w:t>
            </w:r>
            <w:r w:rsidRPr="0015382E">
              <w:rPr>
                <w:rFonts w:eastAsia="Calibri"/>
                <w:bCs/>
                <w:sz w:val="20"/>
                <w:szCs w:val="20"/>
              </w:rPr>
              <w:t xml:space="preserve"> = 0.2</w:t>
            </w:r>
          </w:p>
        </w:tc>
        <w:tc>
          <w:tcPr>
            <w:tcW w:w="270" w:type="dxa"/>
            <w:tcBorders>
              <w:left w:val="nil"/>
              <w:bottom w:val="nil"/>
              <w:right w:val="nil"/>
            </w:tcBorders>
          </w:tcPr>
          <w:p w:rsidR="00DB2DB4" w:rsidRPr="0015382E" w:rsidRDefault="00DB2DB4" w:rsidP="00F4624A">
            <w:pPr>
              <w:spacing w:before="240"/>
              <w:jc w:val="center"/>
              <w:rPr>
                <w:rFonts w:eastAsia="Calibri"/>
                <w:bCs/>
                <w:i/>
                <w:iCs/>
                <w:sz w:val="20"/>
                <w:szCs w:val="20"/>
              </w:rPr>
            </w:pPr>
          </w:p>
        </w:tc>
        <w:tc>
          <w:tcPr>
            <w:tcW w:w="2340" w:type="dxa"/>
            <w:gridSpan w:val="2"/>
            <w:tcBorders>
              <w:left w:val="nil"/>
              <w:bottom w:val="single" w:sz="4" w:space="0" w:color="000000"/>
              <w:right w:val="nil"/>
            </w:tcBorders>
          </w:tcPr>
          <w:p w:rsidR="00DB2DB4" w:rsidRPr="00536C7A" w:rsidRDefault="00DB2DB4" w:rsidP="00F4624A">
            <w:pPr>
              <w:spacing w:before="240"/>
              <w:jc w:val="center"/>
              <w:rPr>
                <w:rFonts w:eastAsia="Calibri"/>
                <w:iCs/>
                <w:sz w:val="20"/>
                <w:szCs w:val="20"/>
              </w:rPr>
            </w:pPr>
            <w:r w:rsidRPr="0015382E">
              <w:rPr>
                <w:rFonts w:eastAsia="Calibri"/>
                <w:bCs/>
                <w:i/>
                <w:iCs/>
                <w:sz w:val="20"/>
                <w:szCs w:val="20"/>
              </w:rPr>
              <w:t>λ</w:t>
            </w:r>
            <w:r w:rsidRPr="0015382E">
              <w:rPr>
                <w:rFonts w:eastAsia="Calibri"/>
                <w:bCs/>
                <w:i/>
                <w:iCs/>
                <w:sz w:val="20"/>
                <w:szCs w:val="20"/>
                <w:vertAlign w:val="subscript"/>
              </w:rPr>
              <w:t>i</w:t>
            </w:r>
            <w:r w:rsidRPr="0015382E">
              <w:rPr>
                <w:rFonts w:eastAsia="Calibri"/>
                <w:bCs/>
                <w:sz w:val="20"/>
                <w:szCs w:val="20"/>
              </w:rPr>
              <w:t xml:space="preserve"> = </w:t>
            </w:r>
            <w:r>
              <w:rPr>
                <w:rFonts w:eastAsia="Calibri"/>
                <w:bCs/>
                <w:sz w:val="20"/>
                <w:szCs w:val="20"/>
              </w:rPr>
              <w:t>0.5</w:t>
            </w:r>
          </w:p>
        </w:tc>
      </w:tr>
      <w:tr w:rsidR="00DB2DB4" w:rsidRPr="00536C7A" w:rsidTr="00F4624A">
        <w:trPr>
          <w:trHeight w:hRule="exact" w:val="576"/>
          <w:jc w:val="center"/>
        </w:trPr>
        <w:tc>
          <w:tcPr>
            <w:tcW w:w="990" w:type="dxa"/>
            <w:vMerge/>
            <w:tcBorders>
              <w:left w:val="nil"/>
              <w:bottom w:val="single" w:sz="4" w:space="0" w:color="000000"/>
              <w:right w:val="nil"/>
            </w:tcBorders>
          </w:tcPr>
          <w:p w:rsidR="00DB2DB4" w:rsidRDefault="00DB2DB4" w:rsidP="00F4624A">
            <w:pPr>
              <w:spacing w:before="240"/>
              <w:rPr>
                <w:rFonts w:eastAsia="Calibri"/>
                <w:sz w:val="20"/>
                <w:szCs w:val="20"/>
              </w:rPr>
            </w:pPr>
          </w:p>
        </w:tc>
        <w:tc>
          <w:tcPr>
            <w:tcW w:w="1034" w:type="dxa"/>
            <w:tcBorders>
              <w:left w:val="nil"/>
              <w:bottom w:val="single" w:sz="4" w:space="0" w:color="000000"/>
              <w:right w:val="nil"/>
            </w:tcBorders>
          </w:tcPr>
          <w:p w:rsidR="00DB2DB4" w:rsidRPr="0015382E" w:rsidRDefault="00DB2DB4" w:rsidP="00F4624A">
            <w:pPr>
              <w:spacing w:before="240"/>
              <w:jc w:val="right"/>
              <w:rPr>
                <w:rFonts w:eastAsia="Calibri"/>
                <w:bCs/>
                <w:i/>
                <w:iCs/>
                <w:sz w:val="20"/>
                <w:szCs w:val="20"/>
              </w:rPr>
            </w:pPr>
            <w:r>
              <w:rPr>
                <w:rFonts w:eastAsia="Calibri"/>
                <w:sz w:val="20"/>
                <w:szCs w:val="20"/>
              </w:rPr>
              <w:t>rNS</w:t>
            </w:r>
            <w:r w:rsidRPr="00536C7A">
              <w:rPr>
                <w:rFonts w:eastAsia="Calibri"/>
                <w:sz w:val="20"/>
                <w:szCs w:val="20"/>
              </w:rPr>
              <w:t>E</w:t>
            </w:r>
            <w:r w:rsidRPr="00536C7A">
              <w:rPr>
                <w:rFonts w:eastAsia="Calibri"/>
                <w:i/>
                <w:sz w:val="20"/>
                <w:szCs w:val="20"/>
                <w:vertAlign w:val="subscript"/>
              </w:rPr>
              <w:t>Q</w:t>
            </w:r>
          </w:p>
        </w:tc>
        <w:tc>
          <w:tcPr>
            <w:tcW w:w="1216" w:type="dxa"/>
            <w:tcBorders>
              <w:left w:val="nil"/>
              <w:bottom w:val="single" w:sz="4" w:space="0" w:color="000000"/>
              <w:right w:val="nil"/>
            </w:tcBorders>
          </w:tcPr>
          <w:p w:rsidR="00DB2DB4" w:rsidRPr="0015382E" w:rsidRDefault="00DB2DB4" w:rsidP="00F4624A">
            <w:pPr>
              <w:spacing w:before="240"/>
              <w:jc w:val="right"/>
              <w:rPr>
                <w:rFonts w:eastAsia="Calibri"/>
                <w:bCs/>
                <w:i/>
                <w:iCs/>
                <w:sz w:val="20"/>
                <w:szCs w:val="20"/>
              </w:rPr>
            </w:pPr>
            <w:r>
              <w:rPr>
                <w:rFonts w:eastAsia="Calibri"/>
                <w:sz w:val="20"/>
                <w:szCs w:val="20"/>
              </w:rPr>
              <w:t>S</w:t>
            </w:r>
            <w:r w:rsidRPr="00536C7A">
              <w:rPr>
                <w:rFonts w:eastAsia="Calibri"/>
                <w:sz w:val="20"/>
                <w:szCs w:val="20"/>
              </w:rPr>
              <w:t>E</w:t>
            </w:r>
            <w:r>
              <w:rPr>
                <w:rFonts w:eastAsia="Calibri"/>
                <w:sz w:val="20"/>
                <w:szCs w:val="20"/>
              </w:rPr>
              <w:t>E</w:t>
            </w:r>
            <w:r w:rsidRPr="00536C7A">
              <w:rPr>
                <w:rFonts w:eastAsia="Calibri"/>
                <w:i/>
                <w:sz w:val="20"/>
                <w:szCs w:val="20"/>
                <w:vertAlign w:val="subscript"/>
              </w:rPr>
              <w:t>Q</w:t>
            </w:r>
          </w:p>
        </w:tc>
        <w:tc>
          <w:tcPr>
            <w:tcW w:w="270" w:type="dxa"/>
            <w:tcBorders>
              <w:top w:val="nil"/>
              <w:left w:val="nil"/>
              <w:bottom w:val="single" w:sz="4" w:space="0" w:color="000000"/>
              <w:right w:val="nil"/>
            </w:tcBorders>
          </w:tcPr>
          <w:p w:rsidR="00DB2DB4" w:rsidRPr="0015382E" w:rsidRDefault="00DB2DB4" w:rsidP="00F4624A">
            <w:pPr>
              <w:spacing w:before="240"/>
              <w:jc w:val="right"/>
              <w:rPr>
                <w:rFonts w:eastAsia="Calibri"/>
                <w:bCs/>
                <w:i/>
                <w:iCs/>
                <w:sz w:val="20"/>
                <w:szCs w:val="20"/>
              </w:rPr>
            </w:pPr>
          </w:p>
        </w:tc>
        <w:tc>
          <w:tcPr>
            <w:tcW w:w="1170" w:type="dxa"/>
            <w:tcBorders>
              <w:left w:val="nil"/>
              <w:bottom w:val="single" w:sz="4" w:space="0" w:color="000000"/>
              <w:right w:val="nil"/>
            </w:tcBorders>
          </w:tcPr>
          <w:p w:rsidR="00DB2DB4" w:rsidRPr="0015382E" w:rsidRDefault="00DB2DB4" w:rsidP="00F4624A">
            <w:pPr>
              <w:spacing w:before="240"/>
              <w:jc w:val="right"/>
              <w:rPr>
                <w:rFonts w:eastAsia="Calibri"/>
                <w:bCs/>
                <w:i/>
                <w:iCs/>
                <w:sz w:val="20"/>
                <w:szCs w:val="20"/>
              </w:rPr>
            </w:pPr>
            <w:r>
              <w:rPr>
                <w:rFonts w:eastAsia="Calibri"/>
                <w:sz w:val="20"/>
                <w:szCs w:val="20"/>
              </w:rPr>
              <w:t>rNS</w:t>
            </w:r>
            <w:r w:rsidRPr="00536C7A">
              <w:rPr>
                <w:rFonts w:eastAsia="Calibri"/>
                <w:sz w:val="20"/>
                <w:szCs w:val="20"/>
              </w:rPr>
              <w:t>E</w:t>
            </w:r>
            <w:r w:rsidRPr="00536C7A">
              <w:rPr>
                <w:rFonts w:eastAsia="Calibri"/>
                <w:i/>
                <w:sz w:val="20"/>
                <w:szCs w:val="20"/>
                <w:vertAlign w:val="subscript"/>
              </w:rPr>
              <w:t>Q</w:t>
            </w:r>
          </w:p>
        </w:tc>
        <w:tc>
          <w:tcPr>
            <w:tcW w:w="1170" w:type="dxa"/>
            <w:tcBorders>
              <w:left w:val="nil"/>
              <w:bottom w:val="single" w:sz="4" w:space="0" w:color="000000"/>
              <w:right w:val="nil"/>
            </w:tcBorders>
          </w:tcPr>
          <w:p w:rsidR="00DB2DB4" w:rsidRPr="0015382E" w:rsidRDefault="00DB2DB4" w:rsidP="00F4624A">
            <w:pPr>
              <w:spacing w:before="240"/>
              <w:jc w:val="right"/>
              <w:rPr>
                <w:rFonts w:eastAsia="Calibri"/>
                <w:bCs/>
                <w:i/>
                <w:iCs/>
                <w:sz w:val="20"/>
                <w:szCs w:val="20"/>
              </w:rPr>
            </w:pPr>
            <w:r>
              <w:rPr>
                <w:rFonts w:eastAsia="Calibri"/>
                <w:sz w:val="20"/>
                <w:szCs w:val="20"/>
              </w:rPr>
              <w:t>SE</w:t>
            </w:r>
            <w:r w:rsidRPr="00536C7A">
              <w:rPr>
                <w:rFonts w:eastAsia="Calibri"/>
                <w:sz w:val="20"/>
                <w:szCs w:val="20"/>
              </w:rPr>
              <w:t>E</w:t>
            </w:r>
            <w:r w:rsidRPr="00536C7A">
              <w:rPr>
                <w:rFonts w:eastAsia="Calibri"/>
                <w:i/>
                <w:sz w:val="20"/>
                <w:szCs w:val="20"/>
                <w:vertAlign w:val="subscript"/>
              </w:rPr>
              <w:t>Q</w:t>
            </w:r>
          </w:p>
        </w:tc>
      </w:tr>
      <w:tr w:rsidR="00DB2DB4" w:rsidRPr="00536C7A" w:rsidTr="00F4624A">
        <w:trPr>
          <w:trHeight w:hRule="exact" w:val="576"/>
          <w:jc w:val="center"/>
        </w:trPr>
        <w:tc>
          <w:tcPr>
            <w:tcW w:w="990" w:type="dxa"/>
            <w:tcBorders>
              <w:left w:val="nil"/>
              <w:bottom w:val="nil"/>
              <w:right w:val="nil"/>
            </w:tcBorders>
          </w:tcPr>
          <w:p w:rsidR="00DB2DB4" w:rsidRPr="00536C7A" w:rsidRDefault="00DB2DB4" w:rsidP="00F4624A">
            <w:pPr>
              <w:spacing w:before="240" w:after="240" w:line="360" w:lineRule="auto"/>
              <w:rPr>
                <w:rFonts w:eastAsia="Calibri"/>
                <w:iCs/>
                <w:sz w:val="20"/>
                <w:szCs w:val="20"/>
              </w:rPr>
            </w:pPr>
            <w:r w:rsidRPr="00536C7A">
              <w:rPr>
                <w:rFonts w:eastAsia="Calibri"/>
                <w:iCs/>
                <w:sz w:val="20"/>
                <w:szCs w:val="20"/>
              </w:rPr>
              <w:t>CM0.2</w:t>
            </w:r>
          </w:p>
        </w:tc>
        <w:tc>
          <w:tcPr>
            <w:tcW w:w="1034" w:type="dxa"/>
            <w:tcBorders>
              <w:left w:val="nil"/>
              <w:bottom w:val="nil"/>
              <w:right w:val="nil"/>
            </w:tcBorders>
          </w:tcPr>
          <w:p w:rsidR="00DB2DB4" w:rsidRDefault="00DB2DB4" w:rsidP="00F4624A">
            <w:pPr>
              <w:spacing w:before="240" w:after="240" w:line="360" w:lineRule="auto"/>
              <w:jc w:val="right"/>
              <w:rPr>
                <w:rFonts w:eastAsia="Calibri"/>
                <w:iCs/>
                <w:sz w:val="20"/>
                <w:szCs w:val="20"/>
              </w:rPr>
            </w:pPr>
            <w:r>
              <w:rPr>
                <w:rFonts w:eastAsia="Calibri"/>
                <w:iCs/>
                <w:sz w:val="20"/>
                <w:szCs w:val="20"/>
              </w:rPr>
              <w:t>0.92</w:t>
            </w:r>
          </w:p>
        </w:tc>
        <w:tc>
          <w:tcPr>
            <w:tcW w:w="1216" w:type="dxa"/>
            <w:tcBorders>
              <w:left w:val="nil"/>
              <w:bottom w:val="nil"/>
              <w:right w:val="nil"/>
            </w:tcBorders>
          </w:tcPr>
          <w:p w:rsidR="00DB2DB4" w:rsidRPr="00536C7A" w:rsidRDefault="00DB2DB4" w:rsidP="00F4624A">
            <w:pPr>
              <w:spacing w:before="240" w:after="240" w:line="360" w:lineRule="auto"/>
              <w:jc w:val="right"/>
              <w:rPr>
                <w:rFonts w:eastAsia="Calibri"/>
                <w:iCs/>
                <w:sz w:val="20"/>
                <w:szCs w:val="20"/>
              </w:rPr>
            </w:pPr>
            <w:r>
              <w:rPr>
                <w:rFonts w:eastAsia="Calibri"/>
                <w:iCs/>
                <w:sz w:val="20"/>
                <w:szCs w:val="20"/>
              </w:rPr>
              <w:t>1.54</w:t>
            </w:r>
          </w:p>
        </w:tc>
        <w:tc>
          <w:tcPr>
            <w:tcW w:w="270" w:type="dxa"/>
            <w:tcBorders>
              <w:left w:val="nil"/>
              <w:bottom w:val="nil"/>
              <w:right w:val="nil"/>
            </w:tcBorders>
          </w:tcPr>
          <w:p w:rsidR="00DB2DB4" w:rsidRDefault="00DB2DB4" w:rsidP="00F4624A">
            <w:pPr>
              <w:spacing w:before="240" w:after="240" w:line="360" w:lineRule="auto"/>
              <w:jc w:val="right"/>
              <w:rPr>
                <w:rFonts w:eastAsia="Calibri"/>
                <w:iCs/>
                <w:sz w:val="20"/>
                <w:szCs w:val="20"/>
              </w:rPr>
            </w:pPr>
          </w:p>
        </w:tc>
        <w:tc>
          <w:tcPr>
            <w:tcW w:w="1170" w:type="dxa"/>
            <w:tcBorders>
              <w:left w:val="nil"/>
              <w:bottom w:val="nil"/>
              <w:right w:val="nil"/>
            </w:tcBorders>
          </w:tcPr>
          <w:p w:rsidR="00DB2DB4" w:rsidRDefault="00DB2DB4" w:rsidP="00F4624A">
            <w:pPr>
              <w:spacing w:before="240" w:after="240" w:line="360" w:lineRule="auto"/>
              <w:jc w:val="right"/>
              <w:rPr>
                <w:rFonts w:eastAsia="Calibri"/>
                <w:iCs/>
                <w:sz w:val="20"/>
                <w:szCs w:val="20"/>
              </w:rPr>
            </w:pPr>
            <w:r>
              <w:rPr>
                <w:rFonts w:eastAsia="Calibri"/>
                <w:iCs/>
                <w:sz w:val="20"/>
                <w:szCs w:val="20"/>
              </w:rPr>
              <w:t>0.92</w:t>
            </w:r>
          </w:p>
        </w:tc>
        <w:tc>
          <w:tcPr>
            <w:tcW w:w="1170" w:type="dxa"/>
            <w:tcBorders>
              <w:left w:val="nil"/>
              <w:bottom w:val="nil"/>
              <w:right w:val="nil"/>
            </w:tcBorders>
          </w:tcPr>
          <w:p w:rsidR="00DB2DB4" w:rsidRPr="00536C7A" w:rsidRDefault="00DB2DB4" w:rsidP="00F4624A">
            <w:pPr>
              <w:spacing w:before="240" w:after="240" w:line="360" w:lineRule="auto"/>
              <w:jc w:val="right"/>
              <w:rPr>
                <w:rFonts w:eastAsia="Calibri"/>
                <w:iCs/>
                <w:sz w:val="20"/>
                <w:szCs w:val="20"/>
              </w:rPr>
            </w:pPr>
            <w:r>
              <w:rPr>
                <w:rFonts w:eastAsia="Calibri"/>
                <w:iCs/>
                <w:sz w:val="20"/>
                <w:szCs w:val="20"/>
              </w:rPr>
              <w:t>1.30</w:t>
            </w:r>
          </w:p>
        </w:tc>
      </w:tr>
      <w:tr w:rsidR="00DB2DB4" w:rsidRPr="00536C7A" w:rsidTr="00F4624A">
        <w:trPr>
          <w:trHeight w:hRule="exact" w:val="576"/>
          <w:jc w:val="center"/>
        </w:trPr>
        <w:tc>
          <w:tcPr>
            <w:tcW w:w="990" w:type="dxa"/>
            <w:tcBorders>
              <w:top w:val="nil"/>
              <w:left w:val="nil"/>
              <w:bottom w:val="nil"/>
              <w:right w:val="nil"/>
            </w:tcBorders>
          </w:tcPr>
          <w:p w:rsidR="00DB2DB4" w:rsidRPr="00536C7A" w:rsidRDefault="00DB2DB4" w:rsidP="00F4624A">
            <w:pPr>
              <w:spacing w:before="240" w:after="240" w:line="360" w:lineRule="auto"/>
              <w:rPr>
                <w:rFonts w:eastAsia="Calibri"/>
                <w:iCs/>
                <w:sz w:val="20"/>
                <w:szCs w:val="20"/>
              </w:rPr>
            </w:pPr>
            <w:r w:rsidRPr="00536C7A">
              <w:rPr>
                <w:rFonts w:eastAsia="Calibri"/>
                <w:iCs/>
                <w:sz w:val="20"/>
                <w:szCs w:val="20"/>
              </w:rPr>
              <w:t>CMλ</w:t>
            </w:r>
          </w:p>
        </w:tc>
        <w:tc>
          <w:tcPr>
            <w:tcW w:w="1034" w:type="dxa"/>
            <w:tcBorders>
              <w:top w:val="nil"/>
              <w:left w:val="nil"/>
              <w:bottom w:val="nil"/>
              <w:right w:val="nil"/>
            </w:tcBorders>
          </w:tcPr>
          <w:p w:rsidR="00DB2DB4" w:rsidRDefault="00DB2DB4" w:rsidP="00F4624A">
            <w:pPr>
              <w:spacing w:before="240" w:after="240" w:line="360" w:lineRule="auto"/>
              <w:jc w:val="right"/>
              <w:rPr>
                <w:rFonts w:eastAsia="Calibri"/>
                <w:iCs/>
                <w:sz w:val="20"/>
                <w:szCs w:val="20"/>
              </w:rPr>
            </w:pPr>
            <w:r>
              <w:rPr>
                <w:rFonts w:eastAsia="Calibri"/>
                <w:iCs/>
                <w:sz w:val="20"/>
                <w:szCs w:val="20"/>
              </w:rPr>
              <w:t>0.95</w:t>
            </w:r>
          </w:p>
        </w:tc>
        <w:tc>
          <w:tcPr>
            <w:tcW w:w="1216" w:type="dxa"/>
            <w:tcBorders>
              <w:top w:val="nil"/>
              <w:left w:val="nil"/>
              <w:bottom w:val="nil"/>
              <w:right w:val="nil"/>
            </w:tcBorders>
          </w:tcPr>
          <w:p w:rsidR="00DB2DB4" w:rsidRPr="00536C7A" w:rsidRDefault="00DB2DB4" w:rsidP="00F4624A">
            <w:pPr>
              <w:spacing w:before="240" w:after="240" w:line="360" w:lineRule="auto"/>
              <w:jc w:val="right"/>
              <w:rPr>
                <w:rFonts w:eastAsia="Calibri"/>
                <w:iCs/>
                <w:sz w:val="20"/>
                <w:szCs w:val="20"/>
              </w:rPr>
            </w:pPr>
            <w:r>
              <w:rPr>
                <w:rFonts w:eastAsia="Calibri"/>
                <w:iCs/>
                <w:sz w:val="20"/>
                <w:szCs w:val="20"/>
              </w:rPr>
              <w:t>0.19</w:t>
            </w:r>
          </w:p>
        </w:tc>
        <w:tc>
          <w:tcPr>
            <w:tcW w:w="270" w:type="dxa"/>
            <w:tcBorders>
              <w:top w:val="nil"/>
              <w:left w:val="nil"/>
              <w:bottom w:val="nil"/>
              <w:right w:val="nil"/>
            </w:tcBorders>
          </w:tcPr>
          <w:p w:rsidR="00DB2DB4" w:rsidRDefault="00DB2DB4" w:rsidP="00F4624A">
            <w:pPr>
              <w:spacing w:before="240" w:after="240" w:line="360" w:lineRule="auto"/>
              <w:jc w:val="right"/>
              <w:rPr>
                <w:rFonts w:eastAsia="Calibri"/>
                <w:iCs/>
                <w:sz w:val="20"/>
                <w:szCs w:val="20"/>
              </w:rPr>
            </w:pPr>
          </w:p>
        </w:tc>
        <w:tc>
          <w:tcPr>
            <w:tcW w:w="1170" w:type="dxa"/>
            <w:tcBorders>
              <w:top w:val="nil"/>
              <w:left w:val="nil"/>
              <w:bottom w:val="nil"/>
              <w:right w:val="nil"/>
            </w:tcBorders>
          </w:tcPr>
          <w:p w:rsidR="00DB2DB4" w:rsidRDefault="00DB2DB4" w:rsidP="00F4624A">
            <w:pPr>
              <w:spacing w:before="240" w:after="240" w:line="360" w:lineRule="auto"/>
              <w:jc w:val="right"/>
              <w:rPr>
                <w:rFonts w:eastAsia="Calibri"/>
                <w:iCs/>
                <w:sz w:val="20"/>
                <w:szCs w:val="20"/>
              </w:rPr>
            </w:pPr>
            <w:r>
              <w:rPr>
                <w:rFonts w:eastAsia="Calibri"/>
                <w:iCs/>
                <w:sz w:val="20"/>
                <w:szCs w:val="20"/>
              </w:rPr>
              <w:t>0.94</w:t>
            </w:r>
          </w:p>
        </w:tc>
        <w:tc>
          <w:tcPr>
            <w:tcW w:w="1170" w:type="dxa"/>
            <w:tcBorders>
              <w:top w:val="nil"/>
              <w:left w:val="nil"/>
              <w:bottom w:val="nil"/>
              <w:right w:val="nil"/>
            </w:tcBorders>
          </w:tcPr>
          <w:p w:rsidR="00DB2DB4" w:rsidRPr="00536C7A" w:rsidRDefault="00DB2DB4" w:rsidP="00F4624A">
            <w:pPr>
              <w:spacing w:before="240" w:after="240" w:line="360" w:lineRule="auto"/>
              <w:jc w:val="right"/>
              <w:rPr>
                <w:rFonts w:eastAsia="Calibri"/>
                <w:iCs/>
                <w:sz w:val="20"/>
                <w:szCs w:val="20"/>
              </w:rPr>
            </w:pPr>
            <w:r>
              <w:rPr>
                <w:rFonts w:eastAsia="Calibri"/>
                <w:iCs/>
                <w:sz w:val="20"/>
                <w:szCs w:val="20"/>
              </w:rPr>
              <w:t>0.38</w:t>
            </w:r>
          </w:p>
        </w:tc>
      </w:tr>
      <w:tr w:rsidR="00DB2DB4" w:rsidRPr="00536C7A" w:rsidTr="00F4624A">
        <w:trPr>
          <w:trHeight w:hRule="exact" w:val="576"/>
          <w:jc w:val="center"/>
        </w:trPr>
        <w:tc>
          <w:tcPr>
            <w:tcW w:w="990" w:type="dxa"/>
            <w:tcBorders>
              <w:top w:val="nil"/>
              <w:left w:val="nil"/>
              <w:bottom w:val="nil"/>
              <w:right w:val="nil"/>
            </w:tcBorders>
          </w:tcPr>
          <w:p w:rsidR="00DB2DB4" w:rsidRPr="00536C7A" w:rsidRDefault="00DB2DB4" w:rsidP="00F4624A">
            <w:pPr>
              <w:spacing w:before="240" w:after="240" w:line="360" w:lineRule="auto"/>
              <w:rPr>
                <w:rFonts w:eastAsia="Calibri"/>
                <w:sz w:val="20"/>
                <w:szCs w:val="20"/>
              </w:rPr>
            </w:pPr>
            <w:r w:rsidRPr="00536C7A">
              <w:rPr>
                <w:rFonts w:eastAsia="Calibri"/>
                <w:iCs/>
                <w:sz w:val="20"/>
                <w:szCs w:val="20"/>
              </w:rPr>
              <w:t>VIMS</w:t>
            </w:r>
          </w:p>
        </w:tc>
        <w:tc>
          <w:tcPr>
            <w:tcW w:w="1034" w:type="dxa"/>
            <w:tcBorders>
              <w:top w:val="nil"/>
              <w:left w:val="nil"/>
              <w:bottom w:val="nil"/>
              <w:right w:val="nil"/>
            </w:tcBorders>
          </w:tcPr>
          <w:p w:rsidR="00DB2DB4" w:rsidRDefault="00DB2DB4" w:rsidP="00F4624A">
            <w:pPr>
              <w:spacing w:before="240" w:after="240" w:line="360" w:lineRule="auto"/>
              <w:jc w:val="right"/>
              <w:rPr>
                <w:rFonts w:eastAsia="Calibri"/>
                <w:iCs/>
                <w:sz w:val="20"/>
                <w:szCs w:val="20"/>
              </w:rPr>
            </w:pPr>
            <w:r>
              <w:rPr>
                <w:rFonts w:eastAsia="Calibri"/>
                <w:iCs/>
                <w:sz w:val="20"/>
                <w:szCs w:val="20"/>
              </w:rPr>
              <w:t>0.97</w:t>
            </w:r>
          </w:p>
        </w:tc>
        <w:tc>
          <w:tcPr>
            <w:tcW w:w="1216" w:type="dxa"/>
            <w:tcBorders>
              <w:top w:val="nil"/>
              <w:left w:val="nil"/>
              <w:bottom w:val="nil"/>
              <w:right w:val="nil"/>
            </w:tcBorders>
          </w:tcPr>
          <w:p w:rsidR="00DB2DB4" w:rsidRPr="00536C7A" w:rsidRDefault="00DB2DB4" w:rsidP="00F4624A">
            <w:pPr>
              <w:spacing w:before="240" w:after="240" w:line="360" w:lineRule="auto"/>
              <w:jc w:val="right"/>
              <w:rPr>
                <w:rFonts w:eastAsia="Calibri"/>
                <w:iCs/>
                <w:sz w:val="20"/>
                <w:szCs w:val="20"/>
              </w:rPr>
            </w:pPr>
            <w:r>
              <w:rPr>
                <w:rFonts w:eastAsia="Calibri"/>
                <w:iCs/>
                <w:sz w:val="20"/>
                <w:szCs w:val="20"/>
              </w:rPr>
              <w:t>0.12</w:t>
            </w:r>
          </w:p>
        </w:tc>
        <w:tc>
          <w:tcPr>
            <w:tcW w:w="270" w:type="dxa"/>
            <w:tcBorders>
              <w:top w:val="nil"/>
              <w:left w:val="nil"/>
              <w:bottom w:val="nil"/>
              <w:right w:val="nil"/>
            </w:tcBorders>
          </w:tcPr>
          <w:p w:rsidR="00DB2DB4" w:rsidRDefault="00DB2DB4" w:rsidP="00F4624A">
            <w:pPr>
              <w:spacing w:before="240" w:after="240" w:line="360" w:lineRule="auto"/>
              <w:jc w:val="right"/>
              <w:rPr>
                <w:rFonts w:eastAsia="Calibri"/>
                <w:iCs/>
                <w:sz w:val="20"/>
                <w:szCs w:val="20"/>
              </w:rPr>
            </w:pPr>
          </w:p>
        </w:tc>
        <w:tc>
          <w:tcPr>
            <w:tcW w:w="1170" w:type="dxa"/>
            <w:tcBorders>
              <w:top w:val="nil"/>
              <w:left w:val="nil"/>
              <w:bottom w:val="nil"/>
              <w:right w:val="nil"/>
            </w:tcBorders>
          </w:tcPr>
          <w:p w:rsidR="00DB2DB4" w:rsidRDefault="00DB2DB4" w:rsidP="00F4624A">
            <w:pPr>
              <w:spacing w:before="240" w:after="240" w:line="360" w:lineRule="auto"/>
              <w:jc w:val="right"/>
              <w:rPr>
                <w:rFonts w:eastAsia="Calibri"/>
                <w:iCs/>
                <w:sz w:val="20"/>
                <w:szCs w:val="20"/>
              </w:rPr>
            </w:pPr>
            <w:r>
              <w:rPr>
                <w:rFonts w:eastAsia="Calibri"/>
                <w:iCs/>
                <w:sz w:val="20"/>
                <w:szCs w:val="20"/>
              </w:rPr>
              <w:t>0.96</w:t>
            </w:r>
          </w:p>
        </w:tc>
        <w:tc>
          <w:tcPr>
            <w:tcW w:w="1170" w:type="dxa"/>
            <w:tcBorders>
              <w:top w:val="nil"/>
              <w:left w:val="nil"/>
              <w:bottom w:val="nil"/>
              <w:right w:val="nil"/>
            </w:tcBorders>
          </w:tcPr>
          <w:p w:rsidR="00DB2DB4" w:rsidRPr="00536C7A" w:rsidRDefault="00DB2DB4" w:rsidP="00F4624A">
            <w:pPr>
              <w:spacing w:before="240" w:after="240" w:line="360" w:lineRule="auto"/>
              <w:jc w:val="right"/>
              <w:rPr>
                <w:rFonts w:eastAsia="Calibri"/>
                <w:iCs/>
                <w:sz w:val="20"/>
                <w:szCs w:val="20"/>
              </w:rPr>
            </w:pPr>
            <w:r>
              <w:rPr>
                <w:rFonts w:eastAsia="Calibri"/>
                <w:iCs/>
                <w:sz w:val="20"/>
                <w:szCs w:val="20"/>
              </w:rPr>
              <w:t>0.25</w:t>
            </w:r>
          </w:p>
        </w:tc>
      </w:tr>
      <w:tr w:rsidR="00DB2DB4" w:rsidRPr="00536C7A" w:rsidTr="00F4624A">
        <w:trPr>
          <w:trHeight w:hRule="exact" w:val="576"/>
          <w:jc w:val="center"/>
        </w:trPr>
        <w:tc>
          <w:tcPr>
            <w:tcW w:w="990" w:type="dxa"/>
            <w:tcBorders>
              <w:top w:val="nil"/>
              <w:left w:val="nil"/>
              <w:right w:val="nil"/>
            </w:tcBorders>
          </w:tcPr>
          <w:p w:rsidR="00DB2DB4" w:rsidRPr="00536C7A" w:rsidRDefault="00DB2DB4" w:rsidP="00F4624A">
            <w:pPr>
              <w:spacing w:before="240" w:after="240" w:line="360" w:lineRule="auto"/>
              <w:rPr>
                <w:rFonts w:eastAsia="Calibri"/>
                <w:iCs/>
                <w:sz w:val="20"/>
                <w:szCs w:val="20"/>
              </w:rPr>
            </w:pPr>
            <w:r>
              <w:rPr>
                <w:rFonts w:eastAsia="Calibri"/>
                <w:iCs/>
                <w:sz w:val="20"/>
                <w:szCs w:val="20"/>
              </w:rPr>
              <w:t>VI</w:t>
            </w:r>
            <w:r w:rsidRPr="00536C7A">
              <w:rPr>
                <w:rFonts w:eastAsia="Calibri"/>
                <w:iCs/>
                <w:sz w:val="20"/>
                <w:szCs w:val="20"/>
              </w:rPr>
              <w:t>Mλ</w:t>
            </w:r>
          </w:p>
        </w:tc>
        <w:tc>
          <w:tcPr>
            <w:tcW w:w="1034" w:type="dxa"/>
            <w:tcBorders>
              <w:top w:val="nil"/>
              <w:left w:val="nil"/>
              <w:right w:val="nil"/>
            </w:tcBorders>
          </w:tcPr>
          <w:p w:rsidR="00DB2DB4" w:rsidRDefault="00DB2DB4" w:rsidP="00F4624A">
            <w:pPr>
              <w:spacing w:before="240" w:after="240" w:line="360" w:lineRule="auto"/>
              <w:jc w:val="right"/>
              <w:rPr>
                <w:rFonts w:eastAsia="Calibri"/>
                <w:iCs/>
                <w:sz w:val="20"/>
                <w:szCs w:val="20"/>
              </w:rPr>
            </w:pPr>
            <w:r>
              <w:rPr>
                <w:rFonts w:eastAsia="Calibri"/>
                <w:iCs/>
                <w:sz w:val="20"/>
                <w:szCs w:val="20"/>
              </w:rPr>
              <w:t>1.00</w:t>
            </w:r>
          </w:p>
        </w:tc>
        <w:tc>
          <w:tcPr>
            <w:tcW w:w="1216" w:type="dxa"/>
            <w:tcBorders>
              <w:top w:val="nil"/>
              <w:left w:val="nil"/>
              <w:right w:val="nil"/>
            </w:tcBorders>
          </w:tcPr>
          <w:p w:rsidR="00DB2DB4" w:rsidRPr="00536C7A" w:rsidRDefault="00DB2DB4" w:rsidP="00F4624A">
            <w:pPr>
              <w:spacing w:before="240" w:after="240" w:line="360" w:lineRule="auto"/>
              <w:jc w:val="right"/>
              <w:rPr>
                <w:rFonts w:eastAsia="Calibri"/>
                <w:iCs/>
                <w:sz w:val="20"/>
                <w:szCs w:val="20"/>
              </w:rPr>
            </w:pPr>
            <w:r>
              <w:rPr>
                <w:rFonts w:eastAsia="Calibri"/>
                <w:iCs/>
                <w:sz w:val="20"/>
                <w:szCs w:val="20"/>
              </w:rPr>
              <w:t>0.06</w:t>
            </w:r>
          </w:p>
        </w:tc>
        <w:tc>
          <w:tcPr>
            <w:tcW w:w="270" w:type="dxa"/>
            <w:tcBorders>
              <w:top w:val="nil"/>
              <w:left w:val="nil"/>
              <w:right w:val="nil"/>
            </w:tcBorders>
          </w:tcPr>
          <w:p w:rsidR="00DB2DB4" w:rsidRDefault="00DB2DB4" w:rsidP="00F4624A">
            <w:pPr>
              <w:spacing w:before="240" w:after="240" w:line="360" w:lineRule="auto"/>
              <w:jc w:val="right"/>
              <w:rPr>
                <w:rFonts w:eastAsia="Calibri"/>
                <w:iCs/>
                <w:sz w:val="20"/>
                <w:szCs w:val="20"/>
              </w:rPr>
            </w:pPr>
          </w:p>
        </w:tc>
        <w:tc>
          <w:tcPr>
            <w:tcW w:w="1170" w:type="dxa"/>
            <w:tcBorders>
              <w:top w:val="nil"/>
              <w:left w:val="nil"/>
              <w:right w:val="nil"/>
            </w:tcBorders>
          </w:tcPr>
          <w:p w:rsidR="00DB2DB4" w:rsidRDefault="00DB2DB4" w:rsidP="00F4624A">
            <w:pPr>
              <w:spacing w:before="240" w:after="240" w:line="360" w:lineRule="auto"/>
              <w:jc w:val="right"/>
              <w:rPr>
                <w:rFonts w:eastAsia="Calibri"/>
                <w:iCs/>
                <w:sz w:val="20"/>
                <w:szCs w:val="20"/>
              </w:rPr>
            </w:pPr>
            <w:r>
              <w:rPr>
                <w:rFonts w:eastAsia="Calibri"/>
                <w:iCs/>
                <w:sz w:val="20"/>
                <w:szCs w:val="20"/>
              </w:rPr>
              <w:t>1.00</w:t>
            </w:r>
          </w:p>
        </w:tc>
        <w:tc>
          <w:tcPr>
            <w:tcW w:w="1170" w:type="dxa"/>
            <w:tcBorders>
              <w:top w:val="nil"/>
              <w:left w:val="nil"/>
              <w:right w:val="nil"/>
            </w:tcBorders>
          </w:tcPr>
          <w:p w:rsidR="00DB2DB4" w:rsidRPr="00536C7A" w:rsidRDefault="00DB2DB4" w:rsidP="00F4624A">
            <w:pPr>
              <w:spacing w:before="240" w:after="240" w:line="360" w:lineRule="auto"/>
              <w:jc w:val="right"/>
              <w:rPr>
                <w:rFonts w:eastAsia="Calibri"/>
                <w:iCs/>
                <w:sz w:val="20"/>
                <w:szCs w:val="20"/>
              </w:rPr>
            </w:pPr>
            <w:r>
              <w:rPr>
                <w:rFonts w:eastAsia="Calibri"/>
                <w:iCs/>
                <w:sz w:val="20"/>
                <w:szCs w:val="20"/>
              </w:rPr>
              <w:t>0.12</w:t>
            </w:r>
          </w:p>
        </w:tc>
      </w:tr>
    </w:tbl>
    <w:p w:rsidR="0086119C" w:rsidRPr="00D339F4" w:rsidRDefault="0086119C" w:rsidP="001E1C77">
      <w:pPr>
        <w:pStyle w:val="NormalNew"/>
        <w:rPr>
          <w:iCs/>
        </w:rPr>
      </w:pPr>
    </w:p>
    <w:p w:rsidR="00D339F4" w:rsidRPr="00D339F4" w:rsidRDefault="00D339F4" w:rsidP="00D339F4">
      <w:pPr>
        <w:pStyle w:val="Heading3"/>
      </w:pPr>
      <w:bookmarkStart w:id="94" w:name="_Toc479817873"/>
      <w:bookmarkStart w:id="95" w:name="_Toc481658249"/>
      <w:r w:rsidRPr="00D339F4">
        <w:t>6.</w:t>
      </w:r>
      <w:r w:rsidR="0086119C">
        <w:t>4</w:t>
      </w:r>
      <w:r w:rsidRPr="00D339F4">
        <w:t>. Model Suitability</w:t>
      </w:r>
      <w:bookmarkEnd w:id="94"/>
      <w:bookmarkEnd w:id="95"/>
    </w:p>
    <w:p w:rsidR="001E1C77" w:rsidRPr="00D339F4" w:rsidRDefault="00D339F4" w:rsidP="001E1C77">
      <w:pPr>
        <w:pStyle w:val="NormalNew"/>
      </w:pPr>
      <w:r w:rsidRPr="00D339F4">
        <w:t xml:space="preserve">One of the main objectives of this study was to improve the predictive ability of the CN method while maintaining its simplicity. Using the number of calibrated parameters as an indicator, the models can be arranged in the order of increasing complexity as: CM0.2 (one) &lt; </w:t>
      </w:r>
      <w:r w:rsidRPr="00D339F4">
        <w:rPr>
          <w:iCs/>
        </w:rPr>
        <w:t>CMλ</w:t>
      </w:r>
      <w:r w:rsidRPr="00D339F4">
        <w:t xml:space="preserve"> (two) &lt; </w:t>
      </w:r>
      <w:r w:rsidRPr="00D339F4">
        <w:rPr>
          <w:iCs/>
        </w:rPr>
        <w:t xml:space="preserve">VIMS = VIMλ (three). </w:t>
      </w:r>
      <w:r w:rsidRPr="00D339F4">
        <w:t>CM0.2 was the simplest, but also had the poorest performance (</w:t>
      </w:r>
      <w:r w:rsidR="00B615A2" w:rsidRPr="00B615A2">
        <w:t>Table</w:t>
      </w:r>
      <w:r w:rsidR="00A1712C">
        <w:t>s</w:t>
      </w:r>
      <w:r w:rsidR="00B615A2" w:rsidRPr="00B615A2">
        <w:t xml:space="preserve"> 3</w:t>
      </w:r>
      <w:r w:rsidR="00A1712C">
        <w:t xml:space="preserve"> and 4</w:t>
      </w:r>
      <w:r w:rsidRPr="00D339F4">
        <w:t>). Moreover, there is no justification in fixing</w:t>
      </w:r>
      <w:r w:rsidRPr="00D339F4">
        <w:rPr>
          <w:i/>
          <w:iCs/>
        </w:rPr>
        <w:t xml:space="preserve"> λ</w:t>
      </w:r>
      <w:r w:rsidRPr="00D339F4">
        <w:rPr>
          <w:i/>
          <w:iCs/>
          <w:vertAlign w:val="subscript"/>
        </w:rPr>
        <w:t>W</w:t>
      </w:r>
      <w:r w:rsidRPr="00D339F4">
        <w:t xml:space="preserve"> at 0.2 or any other constant as its optimal value can vary from zero to one (Hawkins et al., 2008). Therefore, the usage of CM0.2 is not recommended.</w:t>
      </w:r>
    </w:p>
    <w:p w:rsidR="00D339F4" w:rsidRPr="00D339F4" w:rsidRDefault="00D339F4" w:rsidP="001E1C77">
      <w:pPr>
        <w:pStyle w:val="NormalNew"/>
      </w:pPr>
      <w:r w:rsidRPr="00D339F4">
        <w:t xml:space="preserve">CMλ predicted the overall runoff and the runoff from small events better than CM0.2. Often, the optimal </w:t>
      </w:r>
      <w:r w:rsidRPr="00D339F4">
        <w:rPr>
          <w:i/>
        </w:rPr>
        <w:t>λ</w:t>
      </w:r>
      <w:r w:rsidRPr="00D339F4">
        <w:rPr>
          <w:i/>
          <w:vertAlign w:val="subscript"/>
        </w:rPr>
        <w:t>W</w:t>
      </w:r>
      <w:r w:rsidRPr="00D339F4">
        <w:t xml:space="preserve"> is much smaller than 0.2 and this allows CMλ to partly mimic a variable </w:t>
      </w:r>
      <w:r w:rsidRPr="00D339F4">
        <w:rPr>
          <w:i/>
        </w:rPr>
        <w:t>I</w:t>
      </w:r>
      <w:r w:rsidRPr="00D339F4">
        <w:rPr>
          <w:i/>
          <w:vertAlign w:val="subscript"/>
        </w:rPr>
        <w:t>aF</w:t>
      </w:r>
      <w:r w:rsidRPr="00D339F4">
        <w:t xml:space="preserve"> by transferring storage from </w:t>
      </w:r>
      <w:r w:rsidRPr="00D339F4">
        <w:rPr>
          <w:i/>
        </w:rPr>
        <w:t>I</w:t>
      </w:r>
      <w:r w:rsidRPr="00D339F4">
        <w:rPr>
          <w:i/>
          <w:vertAlign w:val="subscript"/>
        </w:rPr>
        <w:t>a</w:t>
      </w:r>
      <w:r w:rsidRPr="00D339F4">
        <w:t xml:space="preserve"> to</w:t>
      </w:r>
      <w:r w:rsidRPr="00D339F4">
        <w:rPr>
          <w:i/>
        </w:rPr>
        <w:t xml:space="preserve"> S</w:t>
      </w:r>
      <w:r w:rsidRPr="00D339F4">
        <w:t>. A smaller</w:t>
      </w:r>
      <w:r w:rsidRPr="00D339F4">
        <w:rPr>
          <w:i/>
        </w:rPr>
        <w:t xml:space="preserve"> λ</w:t>
      </w:r>
      <w:r w:rsidRPr="00D339F4">
        <w:rPr>
          <w:i/>
          <w:vertAlign w:val="subscript"/>
        </w:rPr>
        <w:t>W</w:t>
      </w:r>
      <w:r w:rsidRPr="00D339F4">
        <w:t xml:space="preserve"> also reduces the false prediction of zero-runoffs, which are completely eliminated when</w:t>
      </w:r>
      <w:r w:rsidRPr="00D339F4">
        <w:rPr>
          <w:i/>
        </w:rPr>
        <w:t xml:space="preserve"> λ</w:t>
      </w:r>
      <w:r w:rsidRPr="00D339F4">
        <w:rPr>
          <w:i/>
          <w:vertAlign w:val="subscript"/>
        </w:rPr>
        <w:t>W</w:t>
      </w:r>
      <w:r w:rsidRPr="00D339F4">
        <w:t xml:space="preserve"> = 0. Compared to the variable </w:t>
      </w:r>
      <w:r w:rsidRPr="00D339F4">
        <w:rPr>
          <w:i/>
        </w:rPr>
        <w:t>I</w:t>
      </w:r>
      <w:r w:rsidRPr="00D339F4">
        <w:rPr>
          <w:i/>
          <w:vertAlign w:val="subscript"/>
        </w:rPr>
        <w:t>a</w:t>
      </w:r>
      <w:r w:rsidRPr="00D339F4">
        <w:t xml:space="preserve"> models, CMλ is a poor predictor of runoff and watershed heterogeneity (</w:t>
      </w:r>
      <w:r w:rsidR="00B615A2" w:rsidRPr="00B615A2">
        <w:t>Table 3</w:t>
      </w:r>
      <w:r w:rsidRPr="00D339F4">
        <w:t xml:space="preserve">). However, in watersheds with negligible </w:t>
      </w:r>
      <w:r w:rsidRPr="00D339F4">
        <w:rPr>
          <w:i/>
        </w:rPr>
        <w:t>I</w:t>
      </w:r>
      <w:r w:rsidRPr="00D339F4">
        <w:rPr>
          <w:i/>
          <w:vertAlign w:val="subscript"/>
        </w:rPr>
        <w:t>ai</w:t>
      </w:r>
      <w:r w:rsidR="00BC7C58">
        <w:t xml:space="preserve"> values</w:t>
      </w:r>
      <w:r w:rsidRPr="00D339F4">
        <w:t xml:space="preserve"> (or</w:t>
      </w:r>
      <w:r w:rsidRPr="00D339F4">
        <w:rPr>
          <w:i/>
        </w:rPr>
        <w:t xml:space="preserve"> λ</w:t>
      </w:r>
      <w:r w:rsidRPr="00D339F4">
        <w:rPr>
          <w:i/>
          <w:vertAlign w:val="subscript"/>
        </w:rPr>
        <w:t>i</w:t>
      </w:r>
      <w:r w:rsidRPr="00D339F4">
        <w:t xml:space="preserve"> ≈ 0) CMλ can perform as well as the variable </w:t>
      </w:r>
      <w:r w:rsidRPr="00D339F4">
        <w:rPr>
          <w:i/>
        </w:rPr>
        <w:t>I</w:t>
      </w:r>
      <w:r w:rsidRPr="00D339F4">
        <w:rPr>
          <w:i/>
          <w:vertAlign w:val="subscript"/>
        </w:rPr>
        <w:t>a</w:t>
      </w:r>
      <w:r w:rsidRPr="00D339F4">
        <w:t xml:space="preserve"> models, and therefore may be preferable because of its simplicity.</w:t>
      </w:r>
    </w:p>
    <w:p w:rsidR="00D339F4" w:rsidRDefault="00D339F4" w:rsidP="001E1C77">
      <w:pPr>
        <w:pStyle w:val="NormalNew"/>
      </w:pPr>
      <w:r w:rsidRPr="00D339F4">
        <w:t xml:space="preserve">Variable </w:t>
      </w:r>
      <w:r w:rsidRPr="00D339F4">
        <w:rPr>
          <w:i/>
        </w:rPr>
        <w:t>I</w:t>
      </w:r>
      <w:r w:rsidRPr="00D339F4">
        <w:rPr>
          <w:i/>
          <w:vertAlign w:val="subscript"/>
        </w:rPr>
        <w:t>a</w:t>
      </w:r>
      <w:r w:rsidRPr="00D339F4">
        <w:t xml:space="preserve"> models show that significant improvement in the model prediction of overall runoff and heterogeneity can be achieved by using one extra parameter (</w:t>
      </w:r>
      <w:r w:rsidR="00B615A2" w:rsidRPr="00B615A2">
        <w:t>Table 3</w:t>
      </w:r>
      <w:r w:rsidRPr="00D339F4">
        <w:t xml:space="preserve">). This is because the functional form of </w:t>
      </w:r>
      <w:r w:rsidRPr="00D339F4">
        <w:rPr>
          <w:i/>
        </w:rPr>
        <w:t>I</w:t>
      </w:r>
      <w:r w:rsidRPr="00D339F4">
        <w:rPr>
          <w:i/>
          <w:vertAlign w:val="subscript"/>
        </w:rPr>
        <w:t>aF</w:t>
      </w:r>
      <w:r w:rsidRPr="00D339F4">
        <w:t xml:space="preserve"> [eq. </w:t>
      </w:r>
      <w:r w:rsidR="00B615A2" w:rsidRPr="00B615A2">
        <w:t>(23)</w:t>
      </w:r>
      <w:r w:rsidRPr="00D339F4">
        <w:t>] is consistent with the observations [</w:t>
      </w:r>
      <w:r w:rsidR="00B615A2" w:rsidRPr="00B615A2">
        <w:t>Figure 2</w:t>
      </w:r>
      <w:r w:rsidRPr="00D339F4">
        <w:t xml:space="preserve">(c) and 2(d)] and the results from the theoretical analysis of heterogeneous watersheds [eq. </w:t>
      </w:r>
      <w:r w:rsidR="00B615A2" w:rsidRPr="00B615A2">
        <w:t>(16)</w:t>
      </w:r>
      <w:r w:rsidRPr="00D339F4">
        <w:t xml:space="preserve">, </w:t>
      </w:r>
      <w:r w:rsidR="00B615A2" w:rsidRPr="00B615A2">
        <w:t>Figure 6</w:t>
      </w:r>
      <w:r w:rsidRPr="00D339F4">
        <w:t xml:space="preserve">, and </w:t>
      </w:r>
      <w:r w:rsidR="00B615A2" w:rsidRPr="00B615A2">
        <w:rPr>
          <w:bCs/>
        </w:rPr>
        <w:t xml:space="preserve">Table </w:t>
      </w:r>
      <w:r w:rsidR="00B615A2" w:rsidRPr="00B615A2">
        <w:rPr>
          <w:bCs/>
          <w:noProof/>
        </w:rPr>
        <w:t>1</w:t>
      </w:r>
      <w:r w:rsidRPr="00D339F4">
        <w:t xml:space="preserve">]. Using variable </w:t>
      </w:r>
      <w:r w:rsidRPr="00D339F4">
        <w:rPr>
          <w:i/>
        </w:rPr>
        <w:t>I</w:t>
      </w:r>
      <w:r w:rsidRPr="00D339F4">
        <w:rPr>
          <w:i/>
          <w:vertAlign w:val="subscript"/>
        </w:rPr>
        <w:t>a</w:t>
      </w:r>
      <w:r w:rsidRPr="00D339F4">
        <w:t xml:space="preserve"> also improved the runoff predictions in small events and eliminated the false prediction of zero-runoffs. Therefore, their application is recommended in heterogeneous watersheds with non-zero initial abstractions.</w:t>
      </w:r>
    </w:p>
    <w:p w:rsidR="00A1712C" w:rsidRDefault="00A1712C" w:rsidP="001E1C77">
      <w:pPr>
        <w:pStyle w:val="NormalNew"/>
      </w:pPr>
      <w:r w:rsidRPr="00A1712C">
        <w:lastRenderedPageBreak/>
        <w:t xml:space="preserve">When the watershed heterogeneity is known in great detail such that the number of calibrated parameters ≤ 3, a distributed modeling approach [e.g. SWAT (Gassman et al., 2007) or Soulis and Valianzas (2013)] may be preferable over the variable </w:t>
      </w:r>
      <w:r w:rsidRPr="00A1712C">
        <w:rPr>
          <w:i/>
        </w:rPr>
        <w:t>I</w:t>
      </w:r>
      <w:r w:rsidRPr="00A1712C">
        <w:rPr>
          <w:i/>
          <w:vertAlign w:val="subscript"/>
        </w:rPr>
        <w:t>a</w:t>
      </w:r>
      <w:r w:rsidRPr="00A1712C">
        <w:t xml:space="preserve"> models. A distributed parameter model has advantages similar to the variable </w:t>
      </w:r>
      <w:r w:rsidRPr="00A1712C">
        <w:rPr>
          <w:i/>
        </w:rPr>
        <w:t>I</w:t>
      </w:r>
      <w:r w:rsidRPr="00A1712C">
        <w:rPr>
          <w:i/>
          <w:vertAlign w:val="subscript"/>
        </w:rPr>
        <w:t>a</w:t>
      </w:r>
      <w:r w:rsidRPr="00A1712C">
        <w:t xml:space="preserve"> models over the conventional models. It would inherently account for the variation of CN method’s parameters spatially and with </w:t>
      </w:r>
      <w:r w:rsidRPr="00A1712C">
        <w:rPr>
          <w:i/>
        </w:rPr>
        <w:t>P</w:t>
      </w:r>
      <w:r w:rsidRPr="00A1712C">
        <w:t>. It would also avoid the false prediction of zero runoffs in small events because HRUs with larger CNs, which generate runoff even in small events, are explicitly considered. When the heterogeneity is unknown, however, the number of calibrated parameters (for values of CN</w:t>
      </w:r>
      <w:r w:rsidRPr="00A1712C">
        <w:rPr>
          <w:i/>
          <w:vertAlign w:val="subscript"/>
        </w:rPr>
        <w:t>i</w:t>
      </w:r>
      <w:r w:rsidRPr="00A1712C">
        <w:t xml:space="preserve"> and </w:t>
      </w:r>
      <w:r w:rsidRPr="00A1712C">
        <w:rPr>
          <w:i/>
        </w:rPr>
        <w:t>a</w:t>
      </w:r>
      <w:r w:rsidRPr="00A1712C">
        <w:rPr>
          <w:i/>
          <w:vertAlign w:val="subscript"/>
        </w:rPr>
        <w:t>i</w:t>
      </w:r>
      <w:r w:rsidRPr="00A1712C">
        <w:t xml:space="preserve">) in a distributed model with </w:t>
      </w:r>
      <w:r w:rsidRPr="00A1712C">
        <w:rPr>
          <w:i/>
        </w:rPr>
        <w:t>n</w:t>
      </w:r>
      <w:r w:rsidRPr="00A1712C">
        <w:t xml:space="preserve"> HRUs is 2</w:t>
      </w:r>
      <w:r w:rsidRPr="00A1712C">
        <w:rPr>
          <w:i/>
        </w:rPr>
        <w:t>n</w:t>
      </w:r>
      <w:r w:rsidRPr="00A1712C">
        <w:t xml:space="preserve">-1. This number would increase further if values of </w:t>
      </w:r>
      <w:r w:rsidRPr="00A1712C">
        <w:rPr>
          <w:i/>
        </w:rPr>
        <w:t>λ</w:t>
      </w:r>
      <w:r w:rsidRPr="00A1712C">
        <w:rPr>
          <w:i/>
          <w:vertAlign w:val="subscript"/>
        </w:rPr>
        <w:t>i</w:t>
      </w:r>
      <w:r w:rsidRPr="00A1712C">
        <w:t xml:space="preserve"> are also calibrated. Therefore, when the number of calibrated parameters &gt; 3, application of a variable </w:t>
      </w:r>
      <w:r w:rsidRPr="00A1712C">
        <w:rPr>
          <w:i/>
        </w:rPr>
        <w:t>I</w:t>
      </w:r>
      <w:r w:rsidRPr="00A1712C">
        <w:rPr>
          <w:i/>
          <w:vertAlign w:val="subscript"/>
        </w:rPr>
        <w:t>a</w:t>
      </w:r>
      <w:r w:rsidRPr="00A1712C">
        <w:t xml:space="preserve"> model should be considered.</w:t>
      </w:r>
    </w:p>
    <w:p w:rsidR="00F4624A" w:rsidRDefault="00F4624A" w:rsidP="00F4624A">
      <w:pPr>
        <w:pStyle w:val="Heading3"/>
      </w:pPr>
      <w:r>
        <w:t>6.5. Model Limitation</w:t>
      </w:r>
    </w:p>
    <w:p w:rsidR="00F4624A" w:rsidRDefault="001F3059" w:rsidP="001E1C77">
      <w:pPr>
        <w:pStyle w:val="NormalNew"/>
      </w:pPr>
      <w:r>
        <w:t xml:space="preserve">A strength of the models proposed in this paper is that they provide a compact way to account for the spatial variation of CN, </w:t>
      </w:r>
      <w:r w:rsidRPr="00D339F4">
        <w:rPr>
          <w:i/>
          <w:iCs/>
        </w:rPr>
        <w:t>I</w:t>
      </w:r>
      <w:r w:rsidRPr="00D339F4">
        <w:rPr>
          <w:i/>
          <w:iCs/>
          <w:vertAlign w:val="subscript"/>
        </w:rPr>
        <w:t>a</w:t>
      </w:r>
      <w:r>
        <w:t>, or</w:t>
      </w:r>
      <w:r w:rsidRPr="00D339F4">
        <w:rPr>
          <w:i/>
          <w:iCs/>
        </w:rPr>
        <w:t xml:space="preserve"> S</w:t>
      </w:r>
      <w:r>
        <w:t xml:space="preserve"> (watershed heterogeneity), but a limitation is that they do not account for the temporal variation. During dry periods </w:t>
      </w:r>
      <w:r w:rsidRPr="00D339F4">
        <w:rPr>
          <w:i/>
          <w:iCs/>
        </w:rPr>
        <w:t>I</w:t>
      </w:r>
      <w:r w:rsidRPr="00D339F4">
        <w:rPr>
          <w:i/>
          <w:iCs/>
          <w:vertAlign w:val="subscript"/>
        </w:rPr>
        <w:t>a</w:t>
      </w:r>
      <w:r>
        <w:t>, and</w:t>
      </w:r>
      <w:r w:rsidRPr="00D339F4">
        <w:rPr>
          <w:i/>
          <w:iCs/>
        </w:rPr>
        <w:t xml:space="preserve"> S</w:t>
      </w:r>
      <w:r>
        <w:t xml:space="preserve"> increase whereas CN decreases. The behavior is opposite during the wet periods. Changes in land cover introduce additional temporal variations. Therefore, the calibrated model parameters in this paper can be considered as temporal averages. The models may </w:t>
      </w:r>
      <w:r w:rsidRPr="00114FCA">
        <w:t>underpredict</w:t>
      </w:r>
      <w:r>
        <w:t xml:space="preserve"> runoff during wet periods and overpredict during dry periods. A procedure to account for temporal variations using antecedent moisture is described by Santikari (2017) and Santikari and Murdoch (2018).</w:t>
      </w:r>
    </w:p>
    <w:p w:rsidR="00662B4F" w:rsidRPr="001F3059" w:rsidRDefault="00662B4F" w:rsidP="001E1C77">
      <w:pPr>
        <w:pStyle w:val="NormalNew"/>
      </w:pPr>
      <w:r w:rsidRPr="00662B4F">
        <w:t xml:space="preserve">Another limitation of VIMs is that the CN values calculated using eqs. (5) or (10) are incompatible with the standard CN values (NRCS, 2003; USDA, 1986) derived using CM0.2. However, this limitation is not unique to VIMs because any method, including </w:t>
      </w:r>
      <w:r w:rsidRPr="00662B4F">
        <w:rPr>
          <w:iCs/>
        </w:rPr>
        <w:t>CMλ</w:t>
      </w:r>
      <w:r w:rsidRPr="00662B4F">
        <w:t xml:space="preserve">, which involves an altered relationship between </w:t>
      </w:r>
      <w:r w:rsidRPr="00662B4F">
        <w:rPr>
          <w:i/>
          <w:iCs/>
        </w:rPr>
        <w:t>I</w:t>
      </w:r>
      <w:r w:rsidRPr="00662B4F">
        <w:rPr>
          <w:i/>
          <w:iCs/>
          <w:vertAlign w:val="subscript"/>
        </w:rPr>
        <w:t>a</w:t>
      </w:r>
      <w:r w:rsidRPr="00662B4F">
        <w:rPr>
          <w:i/>
          <w:iCs/>
        </w:rPr>
        <w:t xml:space="preserve"> </w:t>
      </w:r>
      <w:r w:rsidRPr="00662B4F">
        <w:t xml:space="preserve">and </w:t>
      </w:r>
      <w:r w:rsidRPr="00662B4F">
        <w:rPr>
          <w:i/>
          <w:iCs/>
        </w:rPr>
        <w:t>S</w:t>
      </w:r>
      <w:r w:rsidRPr="00662B4F">
        <w:t xml:space="preserve"> (i.e. </w:t>
      </w:r>
      <w:r w:rsidRPr="00662B4F">
        <w:rPr>
          <w:i/>
        </w:rPr>
        <w:t>λ</w:t>
      </w:r>
      <w:r w:rsidRPr="00662B4F">
        <w:t xml:space="preserve"> ≠ 0.2) leads to CN values that are incompatible with those derived from CM0.2. Given that (i) CM0.2 is a poor predictor of runoff</w:t>
      </w:r>
      <w:r>
        <w:t xml:space="preserve"> </w:t>
      </w:r>
      <w:r w:rsidRPr="008D1001">
        <w:t>(</w:t>
      </w:r>
      <w:r>
        <w:t xml:space="preserve">Tables 3 and 4; </w:t>
      </w:r>
      <w:r w:rsidRPr="008D1001">
        <w:t>Santikari, 2017; Santikari and Murdoch, 2018)</w:t>
      </w:r>
      <w:r w:rsidRPr="00662B4F">
        <w:t xml:space="preserve">, and (ii) the evidence contradicts </w:t>
      </w:r>
      <w:r w:rsidRPr="00662B4F">
        <w:rPr>
          <w:i/>
        </w:rPr>
        <w:t>λ</w:t>
      </w:r>
      <w:r w:rsidRPr="00662B4F">
        <w:t xml:space="preserve"> = 0.2 (Baltas et al., 2007; D’Asaro and Grillone, 2012; Shi et al., 2009; Woodward et al., 2003), the above-mentioned limitation is an acceptable compromise.</w:t>
      </w:r>
    </w:p>
    <w:p w:rsidR="00D339F4" w:rsidRPr="00D339F4" w:rsidRDefault="00D339F4" w:rsidP="00D339F4">
      <w:pPr>
        <w:pStyle w:val="Heading2"/>
      </w:pPr>
      <w:bookmarkStart w:id="96" w:name="_Toc479817874"/>
      <w:bookmarkStart w:id="97" w:name="_Toc481658250"/>
      <w:r w:rsidRPr="00D339F4">
        <w:t>7. Conclusions</w:t>
      </w:r>
      <w:bookmarkEnd w:id="96"/>
      <w:bookmarkEnd w:id="97"/>
    </w:p>
    <w:p w:rsidR="00D339F4" w:rsidRPr="00D339F4" w:rsidRDefault="00D339F4" w:rsidP="004E78F6">
      <w:pPr>
        <w:pStyle w:val="NormalNew"/>
      </w:pPr>
      <w:r w:rsidRPr="00D339F4">
        <w:t xml:space="preserve">Watershed heterogeneity causes calculated values of </w:t>
      </w:r>
      <w:r w:rsidRPr="00D339F4">
        <w:rPr>
          <w:i/>
          <w:iCs/>
        </w:rPr>
        <w:t>I</w:t>
      </w:r>
      <w:r w:rsidRPr="00D339F4">
        <w:rPr>
          <w:i/>
          <w:iCs/>
          <w:vertAlign w:val="subscript"/>
        </w:rPr>
        <w:t>a</w:t>
      </w:r>
      <w:r w:rsidRPr="00D339F4">
        <w:t xml:space="preserve">, </w:t>
      </w:r>
      <w:r w:rsidRPr="00D339F4">
        <w:rPr>
          <w:i/>
        </w:rPr>
        <w:t>S</w:t>
      </w:r>
      <w:r w:rsidRPr="00D339F4">
        <w:t xml:space="preserve">, and CN to vary with </w:t>
      </w:r>
      <w:r w:rsidRPr="00D339F4">
        <w:rPr>
          <w:i/>
        </w:rPr>
        <w:t>P</w:t>
      </w:r>
      <w:r w:rsidRPr="00D339F4">
        <w:t xml:space="preserve">.  Therefore, using a single effective value of these quantities at the watershed scale can lead to systematic errors in the predictions of </w:t>
      </w:r>
      <w:r w:rsidRPr="00D339F4">
        <w:rPr>
          <w:i/>
        </w:rPr>
        <w:t>Q</w:t>
      </w:r>
      <w:r w:rsidRPr="00D339F4">
        <w:t xml:space="preserve">. This problem can be mitigated by treating </w:t>
      </w:r>
      <w:r w:rsidRPr="00D339F4">
        <w:rPr>
          <w:i/>
          <w:iCs/>
        </w:rPr>
        <w:t>I</w:t>
      </w:r>
      <w:r w:rsidRPr="00D339F4">
        <w:rPr>
          <w:i/>
          <w:iCs/>
          <w:vertAlign w:val="subscript"/>
        </w:rPr>
        <w:t>a</w:t>
      </w:r>
      <w:r w:rsidRPr="00D339F4">
        <w:t xml:space="preserve">, </w:t>
      </w:r>
      <w:r w:rsidRPr="00D339F4">
        <w:rPr>
          <w:i/>
        </w:rPr>
        <w:t>S</w:t>
      </w:r>
      <w:r w:rsidRPr="00D339F4">
        <w:t xml:space="preserve">, or CN as functions of </w:t>
      </w:r>
      <w:r w:rsidRPr="00D339F4">
        <w:rPr>
          <w:i/>
        </w:rPr>
        <w:t>P</w:t>
      </w:r>
      <w:r w:rsidRPr="00D339F4">
        <w:t>. A theoretical analysis assuming spatial variation of</w:t>
      </w:r>
      <w:r w:rsidRPr="00D339F4">
        <w:rPr>
          <w:i/>
          <w:iCs/>
        </w:rPr>
        <w:t xml:space="preserve"> I</w:t>
      </w:r>
      <w:r w:rsidRPr="00D339F4">
        <w:rPr>
          <w:i/>
          <w:iCs/>
          <w:vertAlign w:val="subscript"/>
        </w:rPr>
        <w:t>a</w:t>
      </w:r>
      <w:r w:rsidR="00C6711E">
        <w:t xml:space="preserve"> le</w:t>
      </w:r>
      <w:r w:rsidR="004E78F6">
        <w:t>d to the following conclusions.</w:t>
      </w:r>
    </w:p>
    <w:p w:rsidR="001E1C77" w:rsidRPr="00536C7A" w:rsidRDefault="00D339F4" w:rsidP="00D339F4">
      <w:pPr>
        <w:numPr>
          <w:ilvl w:val="0"/>
          <w:numId w:val="6"/>
        </w:numPr>
        <w:spacing w:before="240" w:line="480" w:lineRule="auto"/>
        <w:ind w:left="360"/>
        <w:rPr>
          <w:rFonts w:eastAsia="Calibri"/>
          <w:sz w:val="20"/>
          <w:szCs w:val="20"/>
        </w:rPr>
      </w:pPr>
      <w:r w:rsidRPr="00536C7A">
        <w:rPr>
          <w:rFonts w:eastAsia="Calibri"/>
          <w:i/>
          <w:iCs/>
          <w:sz w:val="20"/>
          <w:szCs w:val="20"/>
          <w:u w:val="single"/>
        </w:rPr>
        <w:t>Effective I</w:t>
      </w:r>
      <w:r w:rsidRPr="00536C7A">
        <w:rPr>
          <w:rFonts w:eastAsia="Calibri"/>
          <w:i/>
          <w:iCs/>
          <w:sz w:val="20"/>
          <w:szCs w:val="20"/>
          <w:u w:val="single"/>
          <w:vertAlign w:val="subscript"/>
        </w:rPr>
        <w:t>a</w:t>
      </w:r>
      <w:r w:rsidRPr="00536C7A">
        <w:rPr>
          <w:rFonts w:eastAsia="Calibri"/>
          <w:sz w:val="20"/>
          <w:szCs w:val="20"/>
          <w:u w:val="single"/>
        </w:rPr>
        <w:t xml:space="preserve"> </w:t>
      </w:r>
      <w:r w:rsidRPr="00536C7A">
        <w:rPr>
          <w:rFonts w:eastAsia="Calibri"/>
          <w:i/>
          <w:sz w:val="20"/>
          <w:szCs w:val="20"/>
          <w:u w:val="single"/>
        </w:rPr>
        <w:t xml:space="preserve">of a watershed is equal to the filled portion of the total storage in </w:t>
      </w:r>
      <w:r w:rsidRPr="00536C7A">
        <w:rPr>
          <w:rFonts w:eastAsia="Calibri"/>
          <w:i/>
          <w:iCs/>
          <w:sz w:val="20"/>
          <w:szCs w:val="20"/>
          <w:u w:val="single"/>
        </w:rPr>
        <w:t>I</w:t>
      </w:r>
      <w:r w:rsidRPr="00536C7A">
        <w:rPr>
          <w:rFonts w:eastAsia="Calibri"/>
          <w:i/>
          <w:iCs/>
          <w:sz w:val="20"/>
          <w:szCs w:val="20"/>
          <w:u w:val="single"/>
          <w:vertAlign w:val="subscript"/>
        </w:rPr>
        <w:t>a</w:t>
      </w:r>
    </w:p>
    <w:p w:rsidR="00D339F4" w:rsidRPr="00D339F4" w:rsidRDefault="00D339F4" w:rsidP="001E1C77">
      <w:pPr>
        <w:pStyle w:val="NormalNew"/>
      </w:pPr>
      <w:r w:rsidRPr="00D339F4">
        <w:t xml:space="preserve">The total storage (called </w:t>
      </w:r>
      <w:r w:rsidRPr="00D339F4">
        <w:rPr>
          <w:i/>
          <w:iCs/>
        </w:rPr>
        <w:t>I</w:t>
      </w:r>
      <w:r w:rsidRPr="00D339F4">
        <w:rPr>
          <w:i/>
          <w:iCs/>
          <w:vertAlign w:val="subscript"/>
        </w:rPr>
        <w:t>aT</w:t>
      </w:r>
      <w:r w:rsidRPr="00D339F4">
        <w:t>) is constant, whereas the filled portion (called</w:t>
      </w:r>
      <w:r w:rsidRPr="00D339F4">
        <w:rPr>
          <w:i/>
          <w:iCs/>
        </w:rPr>
        <w:t xml:space="preserve"> I</w:t>
      </w:r>
      <w:r w:rsidRPr="00D339F4">
        <w:rPr>
          <w:i/>
          <w:iCs/>
          <w:vertAlign w:val="subscript"/>
        </w:rPr>
        <w:t>aF</w:t>
      </w:r>
      <w:r w:rsidRPr="00D339F4">
        <w:t xml:space="preserve">) is a function of </w:t>
      </w:r>
      <w:r w:rsidRPr="00D339F4">
        <w:rPr>
          <w:i/>
        </w:rPr>
        <w:t>P</w:t>
      </w:r>
      <w:r w:rsidRPr="00D339F4">
        <w:t xml:space="preserve"> [eq. </w:t>
      </w:r>
      <w:r w:rsidR="00B615A2" w:rsidRPr="00B615A2">
        <w:t>(16)</w:t>
      </w:r>
      <w:r w:rsidRPr="00D339F4">
        <w:t xml:space="preserve">]. Variation of </w:t>
      </w:r>
      <w:r w:rsidRPr="00D339F4">
        <w:rPr>
          <w:i/>
          <w:iCs/>
        </w:rPr>
        <w:t>I</w:t>
      </w:r>
      <w:r w:rsidRPr="00D339F4">
        <w:rPr>
          <w:i/>
          <w:iCs/>
          <w:vertAlign w:val="subscript"/>
        </w:rPr>
        <w:t>aF</w:t>
      </w:r>
      <w:r w:rsidRPr="00D339F4">
        <w:t xml:space="preserve"> with </w:t>
      </w:r>
      <w:r w:rsidRPr="00D339F4">
        <w:rPr>
          <w:i/>
        </w:rPr>
        <w:t>P</w:t>
      </w:r>
      <w:r w:rsidRPr="00D339F4">
        <w:t xml:space="preserve"> (</w:t>
      </w:r>
      <w:r w:rsidR="00B615A2" w:rsidRPr="00B615A2">
        <w:t>Figure 6</w:t>
      </w:r>
      <w:r w:rsidRPr="00D339F4">
        <w:t xml:space="preserve">) is similar to the variation of calculated </w:t>
      </w:r>
      <w:r w:rsidRPr="00D339F4">
        <w:rPr>
          <w:i/>
          <w:iCs/>
        </w:rPr>
        <w:t>I</w:t>
      </w:r>
      <w:r w:rsidRPr="00D339F4">
        <w:rPr>
          <w:i/>
          <w:iCs/>
          <w:vertAlign w:val="subscript"/>
        </w:rPr>
        <w:t>a</w:t>
      </w:r>
      <w:r w:rsidRPr="00D339F4">
        <w:t xml:space="preserve"> (also called effective </w:t>
      </w:r>
      <w:r w:rsidRPr="00D339F4">
        <w:rPr>
          <w:i/>
          <w:iCs/>
        </w:rPr>
        <w:t>I</w:t>
      </w:r>
      <w:r w:rsidRPr="00D339F4">
        <w:rPr>
          <w:i/>
          <w:iCs/>
          <w:vertAlign w:val="subscript"/>
        </w:rPr>
        <w:t>a</w:t>
      </w:r>
      <w:r w:rsidRPr="00D339F4">
        <w:t xml:space="preserve"> or </w:t>
      </w:r>
      <w:r w:rsidRPr="00D339F4">
        <w:rPr>
          <w:i/>
          <w:iCs/>
        </w:rPr>
        <w:t>I</w:t>
      </w:r>
      <w:r w:rsidRPr="00D339F4">
        <w:rPr>
          <w:i/>
          <w:iCs/>
          <w:vertAlign w:val="subscript"/>
        </w:rPr>
        <w:t>aW</w:t>
      </w:r>
      <w:r w:rsidRPr="00D339F4">
        <w:t xml:space="preserve">) with </w:t>
      </w:r>
      <w:r w:rsidRPr="00D339F4">
        <w:rPr>
          <w:i/>
        </w:rPr>
        <w:t>P</w:t>
      </w:r>
      <w:r w:rsidRPr="00D339F4">
        <w:t xml:space="preserve"> [</w:t>
      </w:r>
      <w:r w:rsidR="00B615A2" w:rsidRPr="00B615A2">
        <w:t>Figure 2</w:t>
      </w:r>
      <w:r w:rsidRPr="00D339F4">
        <w:t>(c) and 2(d)]. This shows that</w:t>
      </w:r>
      <w:r w:rsidRPr="00D339F4">
        <w:rPr>
          <w:i/>
          <w:iCs/>
        </w:rPr>
        <w:t xml:space="preserve"> I</w:t>
      </w:r>
      <w:r w:rsidRPr="00D339F4">
        <w:rPr>
          <w:i/>
          <w:iCs/>
          <w:vertAlign w:val="subscript"/>
        </w:rPr>
        <w:t>aW</w:t>
      </w:r>
      <w:r w:rsidRPr="00D339F4">
        <w:t xml:space="preserve"> = </w:t>
      </w:r>
      <w:r w:rsidRPr="00D339F4">
        <w:rPr>
          <w:i/>
          <w:iCs/>
        </w:rPr>
        <w:t>I</w:t>
      </w:r>
      <w:r w:rsidRPr="00D339F4">
        <w:rPr>
          <w:i/>
          <w:iCs/>
          <w:vertAlign w:val="subscript"/>
        </w:rPr>
        <w:t>aF</w:t>
      </w:r>
      <w:r w:rsidRPr="00D339F4">
        <w:t xml:space="preserve">, which is also supported by a distributed model using many HRUs [eq. </w:t>
      </w:r>
      <w:r w:rsidR="00B615A2" w:rsidRPr="00B615A2">
        <w:t>(21)</w:t>
      </w:r>
      <w:r w:rsidRPr="00D339F4">
        <w:t xml:space="preserve">]. The form of </w:t>
      </w:r>
      <w:r w:rsidRPr="00D339F4">
        <w:rPr>
          <w:i/>
          <w:iCs/>
        </w:rPr>
        <w:t>I</w:t>
      </w:r>
      <w:r w:rsidRPr="00D339F4">
        <w:rPr>
          <w:i/>
          <w:iCs/>
          <w:vertAlign w:val="subscript"/>
        </w:rPr>
        <w:t>aF</w:t>
      </w:r>
      <w:r w:rsidRPr="00D339F4">
        <w:t xml:space="preserve"> as a function of </w:t>
      </w:r>
      <w:r w:rsidRPr="00D339F4">
        <w:rPr>
          <w:i/>
          <w:iCs/>
        </w:rPr>
        <w:t>P</w:t>
      </w:r>
      <w:r w:rsidRPr="00D339F4">
        <w:t xml:space="preserve"> depends on the spatial distribution of</w:t>
      </w:r>
      <w:r w:rsidRPr="00D339F4">
        <w:rPr>
          <w:i/>
          <w:iCs/>
        </w:rPr>
        <w:t xml:space="preserve"> I</w:t>
      </w:r>
      <w:r w:rsidRPr="00D339F4">
        <w:rPr>
          <w:i/>
          <w:iCs/>
          <w:vertAlign w:val="subscript"/>
        </w:rPr>
        <w:t>a</w:t>
      </w:r>
      <w:r w:rsidRPr="00D339F4">
        <w:t xml:space="preserve"> within a watershed (</w:t>
      </w:r>
      <w:r w:rsidR="00B615A2" w:rsidRPr="00B615A2">
        <w:rPr>
          <w:bCs/>
        </w:rPr>
        <w:t xml:space="preserve">Table </w:t>
      </w:r>
      <w:r w:rsidR="00B615A2" w:rsidRPr="00B615A2">
        <w:rPr>
          <w:bCs/>
          <w:noProof/>
        </w:rPr>
        <w:t>1</w:t>
      </w:r>
      <w:r w:rsidRPr="00D339F4">
        <w:t xml:space="preserve">, </w:t>
      </w:r>
      <w:r w:rsidR="00104EFE" w:rsidRPr="00104EFE">
        <w:t>Figure</w:t>
      </w:r>
      <w:r w:rsidR="00514877">
        <w:t>s</w:t>
      </w:r>
      <w:r w:rsidR="001E1C77">
        <w:t xml:space="preserve"> </w:t>
      </w:r>
      <w:r w:rsidR="00104EFE" w:rsidRPr="00104EFE">
        <w:t>8</w:t>
      </w:r>
      <w:r w:rsidRPr="00D339F4">
        <w:t xml:space="preserve"> and</w:t>
      </w:r>
      <w:r w:rsidR="00B832E2">
        <w:t xml:space="preserve"> </w:t>
      </w:r>
      <w:r w:rsidR="00104EFE" w:rsidRPr="000F0A3B">
        <w:rPr>
          <w:bCs/>
          <w:noProof/>
        </w:rPr>
        <w:t>9</w:t>
      </w:r>
      <w:r w:rsidRPr="00D339F4">
        <w:t>).</w:t>
      </w:r>
    </w:p>
    <w:p w:rsidR="001E1C77" w:rsidRPr="00536C7A" w:rsidRDefault="00D339F4" w:rsidP="00D339F4">
      <w:pPr>
        <w:numPr>
          <w:ilvl w:val="0"/>
          <w:numId w:val="6"/>
        </w:numPr>
        <w:spacing w:before="240" w:line="480" w:lineRule="auto"/>
        <w:ind w:left="360"/>
        <w:rPr>
          <w:rFonts w:eastAsia="Calibri"/>
          <w:i/>
          <w:sz w:val="20"/>
          <w:szCs w:val="20"/>
        </w:rPr>
      </w:pPr>
      <w:r w:rsidRPr="00536C7A">
        <w:rPr>
          <w:rFonts w:eastAsia="Calibri"/>
          <w:i/>
          <w:sz w:val="20"/>
          <w:szCs w:val="20"/>
          <w:u w:val="single"/>
        </w:rPr>
        <w:lastRenderedPageBreak/>
        <w:t>λ decreases with increasing spatial scale</w:t>
      </w:r>
    </w:p>
    <w:p w:rsidR="001E1C77" w:rsidRPr="00536C7A" w:rsidRDefault="00D339F4" w:rsidP="001E1C77">
      <w:pPr>
        <w:pStyle w:val="NormalNew"/>
      </w:pPr>
      <w:r w:rsidRPr="00D339F4">
        <w:t>Using CN</w:t>
      </w:r>
      <w:r w:rsidRPr="00D339F4">
        <w:rPr>
          <w:i/>
          <w:vertAlign w:val="subscript"/>
        </w:rPr>
        <w:t>W</w:t>
      </w:r>
      <w:r w:rsidRPr="00D339F4">
        <w:t>, calculated as the area-weighted average of CN</w:t>
      </w:r>
      <w:r w:rsidRPr="00D339F4">
        <w:rPr>
          <w:i/>
          <w:vertAlign w:val="subscript"/>
        </w:rPr>
        <w:t>i</w:t>
      </w:r>
      <w:r w:rsidR="00DF538F">
        <w:t xml:space="preserve"> values</w:t>
      </w:r>
      <w:r w:rsidRPr="00D339F4">
        <w:t xml:space="preserve"> (</w:t>
      </w:r>
      <w:r w:rsidRPr="00D339F4">
        <w:rPr>
          <w:iCs/>
        </w:rPr>
        <w:t xml:space="preserve">CNs </w:t>
      </w:r>
      <w:r w:rsidRPr="00D339F4">
        <w:t>of the HRUs),</w:t>
      </w:r>
      <w:r w:rsidR="00DF538F">
        <w:t xml:space="preserve"> and</w:t>
      </w:r>
      <w:r w:rsidRPr="00D339F4">
        <w:t xml:space="preserve"> </w:t>
      </w:r>
      <w:r w:rsidR="00DF538F" w:rsidRPr="00D339F4">
        <w:t xml:space="preserve">the definition of </w:t>
      </w:r>
      <w:r w:rsidR="00DF538F" w:rsidRPr="00D339F4">
        <w:rPr>
          <w:i/>
          <w:iCs/>
        </w:rPr>
        <w:t>I</w:t>
      </w:r>
      <w:r w:rsidR="00DF538F" w:rsidRPr="00D339F4">
        <w:rPr>
          <w:i/>
          <w:iCs/>
          <w:vertAlign w:val="subscript"/>
        </w:rPr>
        <w:t>a</w:t>
      </w:r>
      <w:r w:rsidR="00DF538F">
        <w:t xml:space="preserve">, </w:t>
      </w:r>
      <w:r w:rsidRPr="00D339F4">
        <w:t xml:space="preserve">it can be shown that </w:t>
      </w:r>
      <w:r w:rsidRPr="00D339F4">
        <w:rPr>
          <w:i/>
        </w:rPr>
        <w:t>λ</w:t>
      </w:r>
      <w:r w:rsidRPr="00D339F4">
        <w:rPr>
          <w:i/>
          <w:vertAlign w:val="subscript"/>
        </w:rPr>
        <w:t>W</w:t>
      </w:r>
      <w:r w:rsidRPr="00D339F4">
        <w:t xml:space="preserve"> &lt; </w:t>
      </w:r>
      <w:r w:rsidRPr="00D339F4">
        <w:rPr>
          <w:i/>
        </w:rPr>
        <w:t>λ</w:t>
      </w:r>
      <w:r w:rsidRPr="00D339F4">
        <w:rPr>
          <w:i/>
          <w:vertAlign w:val="subscript"/>
        </w:rPr>
        <w:t>i</w:t>
      </w:r>
      <w:r w:rsidRPr="00D339F4">
        <w:t xml:space="preserve"> [eqs. </w:t>
      </w:r>
      <w:r w:rsidR="00B615A2" w:rsidRPr="00B615A2">
        <w:t>(8)</w:t>
      </w:r>
      <w:r w:rsidRPr="00D339F4">
        <w:t xml:space="preserve"> through </w:t>
      </w:r>
      <w:r w:rsidR="00B615A2" w:rsidRPr="00B615A2">
        <w:t>(11)</w:t>
      </w:r>
      <w:r w:rsidRPr="00D339F4">
        <w:t xml:space="preserve">]. Even when </w:t>
      </w:r>
      <w:r w:rsidRPr="00D339F4">
        <w:rPr>
          <w:i/>
        </w:rPr>
        <w:t>λ</w:t>
      </w:r>
      <w:r w:rsidRPr="00D339F4">
        <w:rPr>
          <w:i/>
          <w:vertAlign w:val="subscript"/>
        </w:rPr>
        <w:t>W</w:t>
      </w:r>
      <w:r w:rsidRPr="00D339F4">
        <w:t xml:space="preserve"> was calibrated using </w:t>
      </w:r>
      <w:r w:rsidRPr="00D339F4">
        <w:rPr>
          <w:iCs/>
        </w:rPr>
        <w:t>CMλ</w:t>
      </w:r>
      <w:r w:rsidRPr="00D339F4">
        <w:t>, the result was</w:t>
      </w:r>
      <w:r w:rsidRPr="00D339F4">
        <w:rPr>
          <w:i/>
        </w:rPr>
        <w:t xml:space="preserve"> λ</w:t>
      </w:r>
      <w:r w:rsidRPr="00D339F4">
        <w:rPr>
          <w:i/>
          <w:vertAlign w:val="subscript"/>
        </w:rPr>
        <w:t>W</w:t>
      </w:r>
      <w:r w:rsidRPr="00D339F4">
        <w:t xml:space="preserve"> &lt; </w:t>
      </w:r>
      <w:r w:rsidRPr="00D339F4">
        <w:rPr>
          <w:i/>
        </w:rPr>
        <w:t>λ</w:t>
      </w:r>
      <w:r w:rsidRPr="00D339F4">
        <w:rPr>
          <w:i/>
          <w:vertAlign w:val="subscript"/>
        </w:rPr>
        <w:t>i</w:t>
      </w:r>
      <w:r w:rsidRPr="00D339F4">
        <w:t xml:space="preserve"> (</w:t>
      </w:r>
      <w:r w:rsidR="00B615A2" w:rsidRPr="00B615A2">
        <w:t>Table 3</w:t>
      </w:r>
      <w:r w:rsidRPr="00D339F4">
        <w:t xml:space="preserve">). This shows that in conventional models, </w:t>
      </w:r>
      <w:r w:rsidRPr="00D339F4">
        <w:rPr>
          <w:i/>
        </w:rPr>
        <w:t>λ</w:t>
      </w:r>
      <w:r w:rsidRPr="00D339F4">
        <w:t xml:space="preserve"> at the watershed scale tends to be smaller than that at the HRU scale, i.e. </w:t>
      </w:r>
      <w:r w:rsidRPr="00D339F4">
        <w:rPr>
          <w:i/>
        </w:rPr>
        <w:t>λ</w:t>
      </w:r>
      <w:r w:rsidRPr="00D339F4">
        <w:t xml:space="preserve"> decreases with increasing spatial scale.</w:t>
      </w:r>
    </w:p>
    <w:p w:rsidR="001E1C77" w:rsidRPr="00536C7A" w:rsidRDefault="00D339F4" w:rsidP="00D339F4">
      <w:pPr>
        <w:numPr>
          <w:ilvl w:val="0"/>
          <w:numId w:val="6"/>
        </w:numPr>
        <w:spacing w:before="240" w:line="480" w:lineRule="auto"/>
        <w:ind w:left="360"/>
        <w:rPr>
          <w:rFonts w:eastAsia="Calibri"/>
          <w:i/>
          <w:sz w:val="20"/>
          <w:szCs w:val="20"/>
        </w:rPr>
      </w:pPr>
      <w:r w:rsidRPr="00536C7A">
        <w:rPr>
          <w:rFonts w:eastAsia="Calibri"/>
          <w:i/>
          <w:sz w:val="20"/>
          <w:szCs w:val="20"/>
          <w:u w:val="single"/>
        </w:rPr>
        <w:t>Replacing</w:t>
      </w:r>
      <w:r w:rsidRPr="00536C7A">
        <w:rPr>
          <w:rFonts w:eastAsia="Calibri"/>
          <w:i/>
          <w:iCs/>
          <w:sz w:val="20"/>
          <w:szCs w:val="20"/>
          <w:u w:val="single"/>
        </w:rPr>
        <w:t xml:space="preserve"> I</w:t>
      </w:r>
      <w:r w:rsidRPr="00536C7A">
        <w:rPr>
          <w:rFonts w:eastAsia="Calibri"/>
          <w:i/>
          <w:iCs/>
          <w:sz w:val="20"/>
          <w:szCs w:val="20"/>
          <w:u w:val="single"/>
          <w:vertAlign w:val="subscript"/>
        </w:rPr>
        <w:t>a</w:t>
      </w:r>
      <w:r w:rsidRPr="00536C7A">
        <w:rPr>
          <w:rFonts w:eastAsia="Calibri"/>
          <w:i/>
          <w:sz w:val="20"/>
          <w:szCs w:val="20"/>
          <w:u w:val="single"/>
        </w:rPr>
        <w:t xml:space="preserve"> with </w:t>
      </w:r>
      <w:r w:rsidRPr="00536C7A">
        <w:rPr>
          <w:rFonts w:eastAsia="Calibri"/>
          <w:i/>
          <w:iCs/>
          <w:sz w:val="20"/>
          <w:szCs w:val="20"/>
          <w:u w:val="single"/>
        </w:rPr>
        <w:t>I</w:t>
      </w:r>
      <w:r w:rsidRPr="00536C7A">
        <w:rPr>
          <w:rFonts w:eastAsia="Calibri"/>
          <w:i/>
          <w:iCs/>
          <w:sz w:val="20"/>
          <w:szCs w:val="20"/>
          <w:u w:val="single"/>
          <w:vertAlign w:val="subscript"/>
        </w:rPr>
        <w:t>aF</w:t>
      </w:r>
      <w:r w:rsidRPr="00536C7A">
        <w:rPr>
          <w:rFonts w:eastAsia="Calibri"/>
          <w:i/>
          <w:sz w:val="20"/>
          <w:szCs w:val="20"/>
          <w:u w:val="single"/>
        </w:rPr>
        <w:t xml:space="preserve"> can account for heterogeneity</w:t>
      </w:r>
    </w:p>
    <w:p w:rsidR="00D339F4" w:rsidRPr="00D339F4" w:rsidRDefault="00D339F4" w:rsidP="001E1C77">
      <w:pPr>
        <w:pStyle w:val="NormalNew"/>
        <w:rPr>
          <w:i/>
        </w:rPr>
      </w:pPr>
      <w:r w:rsidRPr="00D339F4">
        <w:t xml:space="preserve">Heterogeneity causes the effective </w:t>
      </w:r>
      <w:r w:rsidRPr="00D339F4">
        <w:rPr>
          <w:i/>
          <w:iCs/>
        </w:rPr>
        <w:t>I</w:t>
      </w:r>
      <w:r w:rsidRPr="00D339F4">
        <w:rPr>
          <w:i/>
          <w:iCs/>
          <w:vertAlign w:val="subscript"/>
        </w:rPr>
        <w:t>a</w:t>
      </w:r>
      <w:r w:rsidRPr="00D339F4">
        <w:t xml:space="preserve"> of a watershed to vary with </w:t>
      </w:r>
      <w:r w:rsidRPr="00D339F4">
        <w:rPr>
          <w:i/>
        </w:rPr>
        <w:t>P</w:t>
      </w:r>
      <w:r w:rsidRPr="00D339F4">
        <w:t>, so to account for heterogeneity variable</w:t>
      </w:r>
      <w:r w:rsidRPr="00D339F4">
        <w:rPr>
          <w:iCs/>
        </w:rPr>
        <w:t xml:space="preserve"> </w:t>
      </w:r>
      <w:r w:rsidRPr="00D339F4">
        <w:rPr>
          <w:i/>
          <w:iCs/>
        </w:rPr>
        <w:t>I</w:t>
      </w:r>
      <w:r w:rsidRPr="00D339F4">
        <w:rPr>
          <w:i/>
          <w:iCs/>
          <w:vertAlign w:val="subscript"/>
        </w:rPr>
        <w:t>a</w:t>
      </w:r>
      <w:r w:rsidRPr="00D339F4">
        <w:t xml:space="preserve"> models (VIMs) replace </w:t>
      </w:r>
      <w:r w:rsidRPr="00D339F4">
        <w:rPr>
          <w:i/>
          <w:iCs/>
        </w:rPr>
        <w:t>I</w:t>
      </w:r>
      <w:r w:rsidRPr="00D339F4">
        <w:rPr>
          <w:i/>
          <w:iCs/>
          <w:vertAlign w:val="subscript"/>
        </w:rPr>
        <w:t>a</w:t>
      </w:r>
      <w:r w:rsidRPr="00D339F4">
        <w:t xml:space="preserve"> with </w:t>
      </w:r>
      <w:r w:rsidRPr="00D339F4">
        <w:rPr>
          <w:i/>
          <w:iCs/>
        </w:rPr>
        <w:t>I</w:t>
      </w:r>
      <w:r w:rsidRPr="00D339F4">
        <w:rPr>
          <w:i/>
          <w:iCs/>
          <w:vertAlign w:val="subscript"/>
        </w:rPr>
        <w:t>aF</w:t>
      </w:r>
      <w:r w:rsidRPr="00D339F4">
        <w:t xml:space="preserve">, which is a function of </w:t>
      </w:r>
      <w:r w:rsidRPr="00D339F4">
        <w:rPr>
          <w:i/>
        </w:rPr>
        <w:t>P</w:t>
      </w:r>
      <w:r w:rsidRPr="00D339F4">
        <w:t xml:space="preserve"> (</w:t>
      </w:r>
      <w:r w:rsidR="00B615A2" w:rsidRPr="00B615A2">
        <w:t>Figure 6</w:t>
      </w:r>
      <w:r w:rsidRPr="00D339F4">
        <w:t xml:space="preserve">). For practical purposes, </w:t>
      </w:r>
      <w:r w:rsidRPr="00D339F4">
        <w:rPr>
          <w:i/>
          <w:iCs/>
        </w:rPr>
        <w:t>I</w:t>
      </w:r>
      <w:r w:rsidRPr="00D339F4">
        <w:rPr>
          <w:i/>
          <w:iCs/>
          <w:vertAlign w:val="subscript"/>
        </w:rPr>
        <w:t>aF</w:t>
      </w:r>
      <w:r w:rsidRPr="00D339F4">
        <w:t xml:space="preserve"> can be treated as a quadratic function of </w:t>
      </w:r>
      <w:r w:rsidRPr="00D339F4">
        <w:rPr>
          <w:i/>
          <w:iCs/>
        </w:rPr>
        <w:t>P</w:t>
      </w:r>
      <w:r w:rsidRPr="00D339F4">
        <w:t xml:space="preserve"> [eq. </w:t>
      </w:r>
      <w:r w:rsidR="00B615A2" w:rsidRPr="00B615A2">
        <w:t>(23)</w:t>
      </w:r>
      <w:r w:rsidRPr="00D339F4">
        <w:t xml:space="preserve">] with two free parameters </w:t>
      </w:r>
      <w:r w:rsidRPr="00D339F4">
        <w:rPr>
          <w:i/>
          <w:iCs/>
        </w:rPr>
        <w:t>c</w:t>
      </w:r>
      <w:r w:rsidRPr="00D339F4">
        <w:rPr>
          <w:iCs/>
          <w:vertAlign w:val="subscript"/>
        </w:rPr>
        <w:t>1</w:t>
      </w:r>
      <w:r w:rsidRPr="00D339F4">
        <w:t xml:space="preserve"> and </w:t>
      </w:r>
      <w:r w:rsidRPr="00D339F4">
        <w:rPr>
          <w:i/>
          <w:iCs/>
        </w:rPr>
        <w:t>c</w:t>
      </w:r>
      <w:r w:rsidRPr="00D339F4">
        <w:rPr>
          <w:iCs/>
          <w:vertAlign w:val="subscript"/>
        </w:rPr>
        <w:t>2</w:t>
      </w:r>
      <w:r w:rsidRPr="00D339F4">
        <w:t xml:space="preserve"> that need to be calibrated. In addition, the model also requires the calibration of either </w:t>
      </w:r>
      <w:r w:rsidRPr="00D339F4">
        <w:rPr>
          <w:i/>
        </w:rPr>
        <w:t>S</w:t>
      </w:r>
      <w:r w:rsidRPr="00D339F4">
        <w:t xml:space="preserve"> (VIMS) or </w:t>
      </w:r>
      <w:r w:rsidRPr="00D339F4">
        <w:rPr>
          <w:i/>
        </w:rPr>
        <w:t>λ</w:t>
      </w:r>
      <w:r w:rsidRPr="00D339F4">
        <w:t xml:space="preserve"> (VIMλ).</w:t>
      </w:r>
    </w:p>
    <w:p w:rsidR="001E1C77" w:rsidRPr="00536C7A" w:rsidRDefault="00D339F4" w:rsidP="00D339F4">
      <w:pPr>
        <w:numPr>
          <w:ilvl w:val="0"/>
          <w:numId w:val="6"/>
        </w:numPr>
        <w:spacing w:before="240" w:line="480" w:lineRule="auto"/>
        <w:ind w:left="360"/>
        <w:rPr>
          <w:rFonts w:eastAsia="Calibri"/>
          <w:sz w:val="20"/>
          <w:szCs w:val="20"/>
        </w:rPr>
      </w:pPr>
      <w:r w:rsidRPr="00536C7A">
        <w:rPr>
          <w:rFonts w:eastAsia="Calibri"/>
          <w:i/>
          <w:sz w:val="20"/>
          <w:szCs w:val="20"/>
          <w:u w:val="single"/>
        </w:rPr>
        <w:t>Variable</w:t>
      </w:r>
      <w:r w:rsidRPr="00536C7A">
        <w:rPr>
          <w:rFonts w:eastAsia="Calibri"/>
          <w:i/>
          <w:iCs/>
          <w:sz w:val="20"/>
          <w:szCs w:val="20"/>
          <w:u w:val="single"/>
        </w:rPr>
        <w:t xml:space="preserve"> I</w:t>
      </w:r>
      <w:r w:rsidRPr="00536C7A">
        <w:rPr>
          <w:rFonts w:eastAsia="Calibri"/>
          <w:i/>
          <w:iCs/>
          <w:sz w:val="20"/>
          <w:szCs w:val="20"/>
          <w:u w:val="single"/>
          <w:vertAlign w:val="subscript"/>
        </w:rPr>
        <w:t>a</w:t>
      </w:r>
      <w:r w:rsidRPr="00536C7A">
        <w:rPr>
          <w:rFonts w:eastAsia="Calibri"/>
          <w:i/>
          <w:sz w:val="20"/>
          <w:szCs w:val="20"/>
          <w:u w:val="single"/>
        </w:rPr>
        <w:t xml:space="preserve"> models perform better than the conventional models</w:t>
      </w:r>
    </w:p>
    <w:p w:rsidR="00D339F4" w:rsidRPr="00D339F4" w:rsidRDefault="00D339F4" w:rsidP="001E1C77">
      <w:pPr>
        <w:pStyle w:val="NormalNew"/>
      </w:pPr>
      <w:r w:rsidRPr="00D339F4">
        <w:t xml:space="preserve">Variable </w:t>
      </w:r>
      <w:r w:rsidRPr="00D339F4">
        <w:rPr>
          <w:i/>
          <w:iCs/>
        </w:rPr>
        <w:t>I</w:t>
      </w:r>
      <w:r w:rsidRPr="00D339F4">
        <w:rPr>
          <w:i/>
          <w:iCs/>
          <w:vertAlign w:val="subscript"/>
        </w:rPr>
        <w:t>a</w:t>
      </w:r>
      <w:r w:rsidRPr="00D339F4">
        <w:t xml:space="preserve"> models predict runoff and heterogeneity better than the conventional models CM0.2 </w:t>
      </w:r>
      <w:r w:rsidRPr="00D339F4">
        <w:rPr>
          <w:i/>
        </w:rPr>
        <w:t>(λ</w:t>
      </w:r>
      <w:r w:rsidRPr="00D339F4">
        <w:t xml:space="preserve"> = 0.2) and CMλ (calibrated</w:t>
      </w:r>
      <w:r w:rsidRPr="00D339F4">
        <w:rPr>
          <w:i/>
        </w:rPr>
        <w:t xml:space="preserve"> λ</w:t>
      </w:r>
      <w:r w:rsidRPr="00D339F4">
        <w:t xml:space="preserve">). They also eliminate the false prediction of zero-runoffs and improve runoff predictions in small events. </w:t>
      </w:r>
      <w:r w:rsidRPr="00D339F4">
        <w:rPr>
          <w:iCs/>
        </w:rPr>
        <w:t>Based on their overall performance, the models are arranged from the best to the worst as VIMλ &gt; VIMS &gt; CMλ &gt; CM0.2</w:t>
      </w:r>
      <w:r w:rsidRPr="00D339F4">
        <w:t>.</w:t>
      </w:r>
    </w:p>
    <w:p w:rsidR="001E1C77" w:rsidRPr="00536C7A" w:rsidRDefault="00D339F4" w:rsidP="00D339F4">
      <w:pPr>
        <w:numPr>
          <w:ilvl w:val="0"/>
          <w:numId w:val="6"/>
        </w:numPr>
        <w:spacing w:before="240" w:line="480" w:lineRule="auto"/>
        <w:ind w:left="360"/>
        <w:rPr>
          <w:rFonts w:eastAsia="Calibri"/>
          <w:sz w:val="20"/>
          <w:szCs w:val="20"/>
        </w:rPr>
      </w:pPr>
      <w:r w:rsidRPr="00536C7A">
        <w:rPr>
          <w:rFonts w:eastAsia="Calibri"/>
          <w:i/>
          <w:sz w:val="20"/>
          <w:szCs w:val="20"/>
          <w:u w:val="single"/>
        </w:rPr>
        <w:t>Storage transfer can improve model performance</w:t>
      </w:r>
    </w:p>
    <w:p w:rsidR="00D339F4" w:rsidRPr="00D339F4" w:rsidRDefault="00D339F4" w:rsidP="001E1C77">
      <w:pPr>
        <w:pStyle w:val="NormalNew"/>
      </w:pPr>
      <w:r w:rsidRPr="00D339F4">
        <w:t>Storage transfer from</w:t>
      </w:r>
      <w:r w:rsidRPr="00D339F4">
        <w:rPr>
          <w:i/>
          <w:iCs/>
        </w:rPr>
        <w:t xml:space="preserve"> I</w:t>
      </w:r>
      <w:r w:rsidRPr="00D339F4">
        <w:rPr>
          <w:i/>
          <w:iCs/>
          <w:vertAlign w:val="subscript"/>
        </w:rPr>
        <w:t>a</w:t>
      </w:r>
      <w:r w:rsidRPr="00D339F4">
        <w:t xml:space="preserve"> to </w:t>
      </w:r>
      <w:r w:rsidRPr="00D339F4">
        <w:rPr>
          <w:i/>
          <w:iCs/>
        </w:rPr>
        <w:t>S</w:t>
      </w:r>
      <w:r w:rsidRPr="00D339F4">
        <w:t xml:space="preserve"> generally </w:t>
      </w:r>
      <w:r w:rsidRPr="00D339F4">
        <w:rPr>
          <w:iCs/>
        </w:rPr>
        <w:t xml:space="preserve">improves </w:t>
      </w:r>
      <w:r w:rsidRPr="00D339F4">
        <w:t xml:space="preserve">the model performance because the filled portions of </w:t>
      </w:r>
      <w:r w:rsidRPr="00D339F4">
        <w:rPr>
          <w:i/>
          <w:iCs/>
        </w:rPr>
        <w:t>I</w:t>
      </w:r>
      <w:r w:rsidRPr="00D339F4">
        <w:rPr>
          <w:i/>
          <w:iCs/>
          <w:vertAlign w:val="subscript"/>
        </w:rPr>
        <w:t>a</w:t>
      </w:r>
      <w:r w:rsidRPr="00D339F4">
        <w:t xml:space="preserve"> and </w:t>
      </w:r>
      <w:r w:rsidRPr="00D339F4">
        <w:rPr>
          <w:i/>
          <w:iCs/>
        </w:rPr>
        <w:t>S</w:t>
      </w:r>
      <w:r w:rsidRPr="00D339F4">
        <w:t xml:space="preserve">, </w:t>
      </w:r>
      <w:r w:rsidRPr="00D339F4">
        <w:rPr>
          <w:i/>
          <w:iCs/>
        </w:rPr>
        <w:t>I</w:t>
      </w:r>
      <w:r w:rsidRPr="00D339F4">
        <w:rPr>
          <w:i/>
          <w:iCs/>
          <w:vertAlign w:val="subscript"/>
        </w:rPr>
        <w:t>aF</w:t>
      </w:r>
      <w:r w:rsidRPr="00D339F4">
        <w:t xml:space="preserve"> and </w:t>
      </w:r>
      <w:r w:rsidRPr="00D339F4">
        <w:rPr>
          <w:i/>
        </w:rPr>
        <w:t>F</w:t>
      </w:r>
      <w:r w:rsidRPr="00D339F4">
        <w:t xml:space="preserve"> respectively, have similar functional relationships with </w:t>
      </w:r>
      <w:r w:rsidRPr="00D339F4">
        <w:rPr>
          <w:i/>
        </w:rPr>
        <w:t>P</w:t>
      </w:r>
      <w:r w:rsidRPr="00D339F4">
        <w:t xml:space="preserve"> (compare </w:t>
      </w:r>
      <w:r w:rsidR="00B615A2" w:rsidRPr="00B615A2">
        <w:t>Figure</w:t>
      </w:r>
      <w:r w:rsidR="00B615A2" w:rsidRPr="00B615A2">
        <w:rPr>
          <w:noProof/>
        </w:rPr>
        <w:t xml:space="preserve"> 6</w:t>
      </w:r>
      <w:r w:rsidRPr="00D339F4">
        <w:t xml:space="preserve"> to </w:t>
      </w:r>
      <w:r w:rsidR="00B615A2" w:rsidRPr="00B615A2">
        <w:t>Figure 1</w:t>
      </w:r>
      <w:r w:rsidRPr="00D339F4">
        <w:t>). This enables a CN model to partly mimic a variable</w:t>
      </w:r>
      <w:r w:rsidRPr="00D339F4">
        <w:rPr>
          <w:i/>
          <w:iCs/>
        </w:rPr>
        <w:t xml:space="preserve"> I</w:t>
      </w:r>
      <w:r w:rsidRPr="00D339F4">
        <w:rPr>
          <w:i/>
          <w:iCs/>
          <w:vertAlign w:val="subscript"/>
        </w:rPr>
        <w:t>aF</w:t>
      </w:r>
      <w:r w:rsidRPr="00D339F4">
        <w:t xml:space="preserve"> by using </w:t>
      </w:r>
      <w:r w:rsidRPr="00D339F4">
        <w:rPr>
          <w:i/>
        </w:rPr>
        <w:t>F</w:t>
      </w:r>
      <w:r w:rsidRPr="00D339F4">
        <w:t xml:space="preserve"> as its surrogate</w:t>
      </w:r>
      <w:r w:rsidRPr="00D339F4">
        <w:rPr>
          <w:iCs/>
        </w:rPr>
        <w:t xml:space="preserve">. </w:t>
      </w:r>
      <w:r w:rsidRPr="00D339F4">
        <w:t xml:space="preserve">Storage transfer also </w:t>
      </w:r>
      <w:r w:rsidRPr="00D339F4">
        <w:rPr>
          <w:iCs/>
        </w:rPr>
        <w:t xml:space="preserve">lowers the threshold </w:t>
      </w:r>
      <w:r w:rsidRPr="00D339F4">
        <w:rPr>
          <w:i/>
          <w:iCs/>
        </w:rPr>
        <w:t>P</w:t>
      </w:r>
      <w:r w:rsidRPr="00D339F4">
        <w:rPr>
          <w:iCs/>
        </w:rPr>
        <w:t xml:space="preserve"> for runoff generation, thereby reducing the false prediction of zero-runoffs. Storage transfer decreases </w:t>
      </w:r>
      <w:r w:rsidRPr="00D339F4">
        <w:rPr>
          <w:i/>
        </w:rPr>
        <w:t>λ</w:t>
      </w:r>
      <w:r w:rsidRPr="00D339F4">
        <w:rPr>
          <w:i/>
          <w:vertAlign w:val="subscript"/>
        </w:rPr>
        <w:t>W</w:t>
      </w:r>
      <w:r w:rsidRPr="00D339F4">
        <w:t xml:space="preserve"> </w:t>
      </w:r>
      <w:r w:rsidRPr="00D339F4">
        <w:rPr>
          <w:iCs/>
        </w:rPr>
        <w:t xml:space="preserve">[eq. </w:t>
      </w:r>
      <w:r w:rsidR="00B615A2" w:rsidRPr="00B615A2">
        <w:rPr>
          <w:iCs/>
        </w:rPr>
        <w:t>(3)</w:t>
      </w:r>
      <w:r w:rsidRPr="00D339F4">
        <w:rPr>
          <w:iCs/>
        </w:rPr>
        <w:t>], and this can explain why the optimal value of</w:t>
      </w:r>
      <w:r w:rsidRPr="00D339F4">
        <w:rPr>
          <w:i/>
        </w:rPr>
        <w:t xml:space="preserve"> λ</w:t>
      </w:r>
      <w:r w:rsidRPr="00D339F4">
        <w:rPr>
          <w:i/>
          <w:vertAlign w:val="subscript"/>
        </w:rPr>
        <w:t>W</w:t>
      </w:r>
      <w:r w:rsidRPr="00D339F4">
        <w:t xml:space="preserve"> from published studies </w:t>
      </w:r>
      <w:r w:rsidRPr="00D339F4">
        <w:rPr>
          <w:iCs/>
        </w:rPr>
        <w:t>is much less than 0.2 or even zero in many watersheds.</w:t>
      </w:r>
    </w:p>
    <w:p w:rsidR="00D339F4" w:rsidRPr="00D339F4" w:rsidRDefault="00D339F4" w:rsidP="00F33124">
      <w:pPr>
        <w:pStyle w:val="Heading2"/>
      </w:pPr>
      <w:bookmarkStart w:id="98" w:name="_Toc479817875"/>
      <w:bookmarkStart w:id="99" w:name="_Toc481658251"/>
      <w:r w:rsidRPr="00D339F4">
        <w:t>Acknowledgments</w:t>
      </w:r>
      <w:bookmarkEnd w:id="98"/>
      <w:bookmarkEnd w:id="99"/>
    </w:p>
    <w:p w:rsidR="00536C7A" w:rsidRPr="00D339F4" w:rsidRDefault="00D339F4" w:rsidP="002362E7">
      <w:pPr>
        <w:pStyle w:val="NormalNew"/>
      </w:pPr>
      <w:r w:rsidRPr="00D339F4">
        <w:t xml:space="preserve">Primary funding </w:t>
      </w:r>
      <w:r w:rsidR="000F0A3B">
        <w:t xml:space="preserve">for this study </w:t>
      </w:r>
      <w:r w:rsidRPr="00D339F4">
        <w:t>was provided by the USDA Natural Resources Conservation Service (NRCS-69-4639-1-0010) through the Changing Land Use and Environment (CLUE) Project at Clemson University. Additional support was pro</w:t>
      </w:r>
      <w:r w:rsidRPr="00D339F4">
        <w:softHyphen/>
        <w:t>vided by the USDA Cooperative State Research, Education, and Extension Service under project number SC-1700278.</w:t>
      </w:r>
    </w:p>
    <w:p w:rsidR="00D339F4" w:rsidRPr="00D339F4" w:rsidRDefault="00D339F4" w:rsidP="00F33124">
      <w:pPr>
        <w:pStyle w:val="Heading2"/>
      </w:pPr>
      <w:bookmarkStart w:id="100" w:name="_Toc479817876"/>
      <w:bookmarkStart w:id="101" w:name="_Toc481658252"/>
      <w:r w:rsidRPr="00D339F4">
        <w:t>List of Symbols</w:t>
      </w:r>
      <w:bookmarkEnd w:id="100"/>
      <w:bookmarkEnd w:id="101"/>
    </w:p>
    <w:tbl>
      <w:tblPr>
        <w:tblStyle w:val="TableGrid3"/>
        <w:tblW w:w="7776"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381"/>
        <w:gridCol w:w="6412"/>
      </w:tblGrid>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rPr>
            </w:pPr>
            <w:r w:rsidRPr="00536C7A">
              <w:rPr>
                <w:rFonts w:eastAsia="Calibri"/>
                <w:i/>
                <w:iCs/>
                <w:sz w:val="20"/>
                <w:szCs w:val="20"/>
              </w:rPr>
              <w:t>a</w:t>
            </w:r>
            <w:r w:rsidRPr="00536C7A">
              <w:rPr>
                <w:rFonts w:eastAsia="Calibri"/>
                <w:i/>
                <w:iCs/>
                <w:sz w:val="20"/>
                <w:szCs w:val="20"/>
                <w:vertAlign w:val="subscript"/>
              </w:rPr>
              <w:t>i</w:t>
            </w:r>
          </w:p>
        </w:tc>
        <w:tc>
          <w:tcPr>
            <w:tcW w:w="381" w:type="dxa"/>
          </w:tcPr>
          <w:p w:rsidR="00D339F4" w:rsidRPr="00536C7A" w:rsidRDefault="00D339F4" w:rsidP="00C33D4C">
            <w:pPr>
              <w:spacing w:before="240"/>
              <w:jc w:val="center"/>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 xml:space="preserve">fractional area of the </w:t>
            </w:r>
            <w:r w:rsidRPr="00536C7A">
              <w:rPr>
                <w:rFonts w:eastAsia="Calibri"/>
                <w:i/>
                <w:iCs/>
                <w:sz w:val="20"/>
                <w:szCs w:val="20"/>
              </w:rPr>
              <w:t>i</w:t>
            </w:r>
            <w:r w:rsidRPr="00536C7A">
              <w:rPr>
                <w:rFonts w:eastAsia="Calibri"/>
                <w:i/>
                <w:iCs/>
                <w:sz w:val="20"/>
                <w:szCs w:val="20"/>
                <w:vertAlign w:val="superscript"/>
              </w:rPr>
              <w:t>th</w:t>
            </w:r>
            <w:r w:rsidRPr="00536C7A">
              <w:rPr>
                <w:rFonts w:eastAsia="Calibri"/>
                <w:sz w:val="20"/>
                <w:szCs w:val="20"/>
              </w:rPr>
              <w:t xml:space="preserve"> HRU</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rPr>
            </w:pPr>
            <w:r w:rsidRPr="00536C7A">
              <w:rPr>
                <w:rFonts w:eastAsia="Calibri"/>
                <w:i/>
                <w:iCs/>
                <w:sz w:val="20"/>
                <w:szCs w:val="20"/>
              </w:rPr>
              <w:lastRenderedPageBreak/>
              <w:t>a</w:t>
            </w:r>
            <w:r w:rsidRPr="00536C7A">
              <w:rPr>
                <w:rFonts w:eastAsia="Calibri"/>
                <w:sz w:val="20"/>
                <w:szCs w:val="20"/>
              </w:rPr>
              <w:t>(</w:t>
            </w:r>
            <w:r w:rsidRPr="00536C7A">
              <w:rPr>
                <w:rFonts w:eastAsia="Calibri"/>
                <w:i/>
                <w:iCs/>
                <w:sz w:val="20"/>
                <w:szCs w:val="20"/>
              </w:rPr>
              <w:t>I</w:t>
            </w:r>
            <w:r w:rsidRPr="00536C7A">
              <w:rPr>
                <w:rFonts w:eastAsia="Calibri"/>
                <w:i/>
                <w:iCs/>
                <w:sz w:val="20"/>
                <w:szCs w:val="20"/>
                <w:vertAlign w:val="subscript"/>
              </w:rPr>
              <w:t>a</w:t>
            </w:r>
            <w:r w:rsidRPr="00536C7A">
              <w:rPr>
                <w:rFonts w:eastAsia="Calibri"/>
                <w:sz w:val="20"/>
                <w:szCs w:val="20"/>
              </w:rPr>
              <w:t>)</w:t>
            </w:r>
          </w:p>
        </w:tc>
        <w:tc>
          <w:tcPr>
            <w:tcW w:w="381" w:type="dxa"/>
          </w:tcPr>
          <w:p w:rsidR="00D339F4" w:rsidRPr="00536C7A" w:rsidRDefault="00D339F4" w:rsidP="00C33D4C">
            <w:pPr>
              <w:spacing w:before="240"/>
              <w:jc w:val="center"/>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probability density function of areal occurrence of</w:t>
            </w:r>
            <w:r w:rsidRPr="00536C7A">
              <w:rPr>
                <w:rFonts w:eastAsia="Calibri"/>
                <w:i/>
                <w:iCs/>
                <w:sz w:val="20"/>
                <w:szCs w:val="20"/>
              </w:rPr>
              <w:t xml:space="preserve"> I</w:t>
            </w:r>
            <w:r w:rsidRPr="00536C7A">
              <w:rPr>
                <w:rFonts w:eastAsia="Calibri"/>
                <w:i/>
                <w:iCs/>
                <w:sz w:val="20"/>
                <w:szCs w:val="20"/>
                <w:vertAlign w:val="subscript"/>
              </w:rPr>
              <w:t>a</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sz w:val="20"/>
                <w:szCs w:val="20"/>
              </w:rPr>
              <w:t>CM0.2</w:t>
            </w:r>
          </w:p>
        </w:tc>
        <w:tc>
          <w:tcPr>
            <w:tcW w:w="381" w:type="dxa"/>
          </w:tcPr>
          <w:p w:rsidR="00D339F4" w:rsidRPr="00536C7A" w:rsidRDefault="00D339F4" w:rsidP="00C33D4C">
            <w:pPr>
              <w:spacing w:before="240"/>
              <w:jc w:val="center"/>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 xml:space="preserve">conventional curve number model with </w:t>
            </w:r>
            <w:r w:rsidRPr="00536C7A">
              <w:rPr>
                <w:rFonts w:eastAsia="Calibri"/>
                <w:i/>
                <w:iCs/>
                <w:sz w:val="20"/>
                <w:szCs w:val="20"/>
              </w:rPr>
              <w:t>λ</w:t>
            </w:r>
            <w:r w:rsidRPr="00536C7A">
              <w:rPr>
                <w:rFonts w:eastAsia="Calibri"/>
                <w:sz w:val="20"/>
                <w:szCs w:val="20"/>
              </w:rPr>
              <w:t xml:space="preserve"> = 0.2</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sz w:val="20"/>
                <w:szCs w:val="20"/>
              </w:rPr>
              <w:t>CMλ</w:t>
            </w:r>
          </w:p>
        </w:tc>
        <w:tc>
          <w:tcPr>
            <w:tcW w:w="381" w:type="dxa"/>
          </w:tcPr>
          <w:p w:rsidR="00D339F4" w:rsidRPr="00536C7A" w:rsidRDefault="00D339F4" w:rsidP="00C33D4C">
            <w:pPr>
              <w:spacing w:before="240"/>
              <w:jc w:val="center"/>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 xml:space="preserve">conventional curve number model with calibrated </w:t>
            </w:r>
            <w:r w:rsidRPr="00536C7A">
              <w:rPr>
                <w:rFonts w:eastAsia="Calibri"/>
                <w:i/>
                <w:iCs/>
                <w:sz w:val="20"/>
                <w:szCs w:val="20"/>
              </w:rPr>
              <w:t>λ</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sz w:val="20"/>
                <w:szCs w:val="20"/>
              </w:rPr>
              <w:t>CN</w:t>
            </w:r>
          </w:p>
        </w:tc>
        <w:tc>
          <w:tcPr>
            <w:tcW w:w="381" w:type="dxa"/>
          </w:tcPr>
          <w:p w:rsidR="00D339F4" w:rsidRPr="00536C7A" w:rsidRDefault="00D339F4" w:rsidP="00C33D4C">
            <w:pPr>
              <w:spacing w:before="240"/>
              <w:jc w:val="center"/>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curve number, applicable to any spatial scale</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sz w:val="20"/>
                <w:szCs w:val="20"/>
              </w:rPr>
              <w:t>CN</w:t>
            </w:r>
            <w:r w:rsidRPr="00536C7A">
              <w:rPr>
                <w:rFonts w:eastAsia="Calibri"/>
                <w:i/>
                <w:iCs/>
                <w:sz w:val="20"/>
                <w:szCs w:val="20"/>
                <w:vertAlign w:val="subscript"/>
              </w:rPr>
              <w:t>i</w:t>
            </w:r>
          </w:p>
        </w:tc>
        <w:tc>
          <w:tcPr>
            <w:tcW w:w="381" w:type="dxa"/>
          </w:tcPr>
          <w:p w:rsidR="00D339F4" w:rsidRPr="00536C7A" w:rsidRDefault="00D339F4" w:rsidP="00C33D4C">
            <w:pPr>
              <w:spacing w:before="240"/>
              <w:jc w:val="center"/>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 xml:space="preserve">curve number of the </w:t>
            </w:r>
            <w:r w:rsidRPr="00536C7A">
              <w:rPr>
                <w:rFonts w:eastAsia="Calibri"/>
                <w:i/>
                <w:iCs/>
                <w:sz w:val="20"/>
                <w:szCs w:val="20"/>
              </w:rPr>
              <w:t>i</w:t>
            </w:r>
            <w:r w:rsidRPr="00536C7A">
              <w:rPr>
                <w:rFonts w:eastAsia="Calibri"/>
                <w:i/>
                <w:iCs/>
                <w:sz w:val="20"/>
                <w:szCs w:val="20"/>
                <w:vertAlign w:val="superscript"/>
              </w:rPr>
              <w:t>th</w:t>
            </w:r>
            <w:r w:rsidRPr="00536C7A">
              <w:rPr>
                <w:rFonts w:eastAsia="Calibri"/>
                <w:sz w:val="20"/>
                <w:szCs w:val="20"/>
              </w:rPr>
              <w:t xml:space="preserve"> HRU</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sz w:val="20"/>
                <w:szCs w:val="20"/>
              </w:rPr>
              <w:t>CN</w:t>
            </w:r>
            <w:r w:rsidRPr="00536C7A">
              <w:rPr>
                <w:rFonts w:eastAsia="Calibri"/>
                <w:i/>
                <w:iCs/>
                <w:sz w:val="20"/>
                <w:szCs w:val="20"/>
                <w:vertAlign w:val="subscript"/>
              </w:rPr>
              <w:t>T</w:t>
            </w:r>
          </w:p>
        </w:tc>
        <w:tc>
          <w:tcPr>
            <w:tcW w:w="381" w:type="dxa"/>
          </w:tcPr>
          <w:p w:rsidR="00D339F4" w:rsidRPr="00536C7A" w:rsidRDefault="00D339F4" w:rsidP="00C33D4C">
            <w:pPr>
              <w:spacing w:before="240"/>
              <w:jc w:val="center"/>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 xml:space="preserve">curve number of a watershed when </w:t>
            </w:r>
            <w:r w:rsidRPr="00536C7A">
              <w:rPr>
                <w:rFonts w:eastAsia="Calibri"/>
                <w:i/>
                <w:iCs/>
                <w:sz w:val="20"/>
                <w:szCs w:val="20"/>
              </w:rPr>
              <w:t>I</w:t>
            </w:r>
            <w:r w:rsidRPr="00536C7A">
              <w:rPr>
                <w:rFonts w:eastAsia="Calibri"/>
                <w:i/>
                <w:iCs/>
                <w:sz w:val="20"/>
                <w:szCs w:val="20"/>
                <w:vertAlign w:val="subscript"/>
              </w:rPr>
              <w:t>aF</w:t>
            </w:r>
            <w:r w:rsidRPr="00536C7A">
              <w:rPr>
                <w:rFonts w:eastAsia="Calibri"/>
                <w:sz w:val="20"/>
                <w:szCs w:val="20"/>
              </w:rPr>
              <w:t xml:space="preserve"> = </w:t>
            </w:r>
            <w:r w:rsidRPr="00536C7A">
              <w:rPr>
                <w:rFonts w:eastAsia="Calibri"/>
                <w:i/>
                <w:iCs/>
                <w:sz w:val="20"/>
                <w:szCs w:val="20"/>
              </w:rPr>
              <w:t>I</w:t>
            </w:r>
            <w:r w:rsidRPr="00536C7A">
              <w:rPr>
                <w:rFonts w:eastAsia="Calibri"/>
                <w:i/>
                <w:iCs/>
                <w:sz w:val="20"/>
                <w:szCs w:val="20"/>
                <w:vertAlign w:val="subscript"/>
              </w:rPr>
              <w:t>aT</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sz w:val="20"/>
                <w:szCs w:val="20"/>
              </w:rPr>
              <w:t>CN</w:t>
            </w:r>
            <w:r w:rsidRPr="00536C7A">
              <w:rPr>
                <w:rFonts w:eastAsia="Calibri"/>
                <w:i/>
                <w:iCs/>
                <w:sz w:val="20"/>
                <w:szCs w:val="20"/>
                <w:vertAlign w:val="subscript"/>
              </w:rPr>
              <w:t>W</w:t>
            </w:r>
          </w:p>
        </w:tc>
        <w:tc>
          <w:tcPr>
            <w:tcW w:w="381" w:type="dxa"/>
          </w:tcPr>
          <w:p w:rsidR="00D339F4" w:rsidRPr="00536C7A" w:rsidRDefault="00D339F4" w:rsidP="00C33D4C">
            <w:pPr>
              <w:spacing w:before="240"/>
              <w:jc w:val="center"/>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curve number of a watershed</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rPr>
            </w:pPr>
            <w:r w:rsidRPr="00536C7A">
              <w:rPr>
                <w:rFonts w:eastAsia="Calibri"/>
                <w:i/>
                <w:iCs/>
                <w:sz w:val="20"/>
                <w:szCs w:val="20"/>
              </w:rPr>
              <w:t>F</w:t>
            </w:r>
          </w:p>
        </w:tc>
        <w:tc>
          <w:tcPr>
            <w:tcW w:w="381" w:type="dxa"/>
          </w:tcPr>
          <w:p w:rsidR="00D339F4" w:rsidRPr="00536C7A" w:rsidRDefault="00D339F4" w:rsidP="00C33D4C">
            <w:pPr>
              <w:spacing w:before="240"/>
              <w:jc w:val="center"/>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cumulative infiltration after runoff begins</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sz w:val="20"/>
                <w:szCs w:val="20"/>
              </w:rPr>
              <w:t>HRU</w:t>
            </w:r>
          </w:p>
        </w:tc>
        <w:tc>
          <w:tcPr>
            <w:tcW w:w="381" w:type="dxa"/>
          </w:tcPr>
          <w:p w:rsidR="00D339F4" w:rsidRPr="00536C7A" w:rsidRDefault="00D339F4" w:rsidP="00C33D4C">
            <w:pPr>
              <w:spacing w:before="240"/>
              <w:jc w:val="center"/>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hydrologic response unit</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i/>
                <w:iCs/>
                <w:sz w:val="20"/>
                <w:szCs w:val="20"/>
              </w:rPr>
              <w:t>I</w:t>
            </w:r>
            <w:r w:rsidRPr="00536C7A">
              <w:rPr>
                <w:rFonts w:eastAsia="Calibri"/>
                <w:i/>
                <w:iCs/>
                <w:sz w:val="20"/>
                <w:szCs w:val="20"/>
                <w:vertAlign w:val="subscript"/>
              </w:rPr>
              <w:t>a</w:t>
            </w:r>
          </w:p>
        </w:tc>
        <w:tc>
          <w:tcPr>
            <w:tcW w:w="381" w:type="dxa"/>
          </w:tcPr>
          <w:p w:rsidR="00D339F4" w:rsidRPr="00536C7A" w:rsidRDefault="00D339F4" w:rsidP="00C33D4C">
            <w:pPr>
              <w:spacing w:before="240"/>
              <w:jc w:val="center"/>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initial abstraction, applicable to any spatial scale</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i/>
                <w:iCs/>
                <w:sz w:val="20"/>
                <w:szCs w:val="20"/>
              </w:rPr>
              <w:t>I</w:t>
            </w:r>
            <w:r w:rsidRPr="00536C7A">
              <w:rPr>
                <w:rFonts w:eastAsia="Calibri"/>
                <w:i/>
                <w:iCs/>
                <w:sz w:val="20"/>
                <w:szCs w:val="20"/>
                <w:vertAlign w:val="subscript"/>
              </w:rPr>
              <w:t>aF</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 xml:space="preserve">areal average of the filled portion of </w:t>
            </w:r>
            <w:r w:rsidRPr="00536C7A">
              <w:rPr>
                <w:rFonts w:eastAsia="Calibri"/>
                <w:i/>
                <w:iCs/>
                <w:sz w:val="20"/>
                <w:szCs w:val="20"/>
              </w:rPr>
              <w:t>I</w:t>
            </w:r>
            <w:r w:rsidRPr="00536C7A">
              <w:rPr>
                <w:rFonts w:eastAsia="Calibri"/>
                <w:i/>
                <w:iCs/>
                <w:sz w:val="20"/>
                <w:szCs w:val="20"/>
                <w:vertAlign w:val="subscript"/>
              </w:rPr>
              <w:t>aT</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i/>
                <w:iCs/>
                <w:sz w:val="20"/>
                <w:szCs w:val="20"/>
              </w:rPr>
              <w:t>I</w:t>
            </w:r>
            <w:r w:rsidRPr="00536C7A">
              <w:rPr>
                <w:rFonts w:eastAsia="Calibri"/>
                <w:i/>
                <w:iCs/>
                <w:sz w:val="20"/>
                <w:szCs w:val="20"/>
                <w:vertAlign w:val="subscript"/>
              </w:rPr>
              <w:t>ai</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 xml:space="preserve">initial abstraction of the </w:t>
            </w:r>
            <w:r w:rsidRPr="00536C7A">
              <w:rPr>
                <w:rFonts w:eastAsia="Calibri"/>
                <w:i/>
                <w:iCs/>
                <w:sz w:val="20"/>
                <w:szCs w:val="20"/>
              </w:rPr>
              <w:t>i</w:t>
            </w:r>
            <w:r w:rsidRPr="00536C7A">
              <w:rPr>
                <w:rFonts w:eastAsia="Calibri"/>
                <w:i/>
                <w:iCs/>
                <w:sz w:val="20"/>
                <w:szCs w:val="20"/>
                <w:vertAlign w:val="superscript"/>
              </w:rPr>
              <w:t>th</w:t>
            </w:r>
            <w:r w:rsidRPr="00536C7A">
              <w:rPr>
                <w:rFonts w:eastAsia="Calibri"/>
                <w:sz w:val="20"/>
                <w:szCs w:val="20"/>
              </w:rPr>
              <w:t xml:space="preserve"> HRU</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i/>
                <w:iCs/>
                <w:sz w:val="20"/>
                <w:szCs w:val="20"/>
              </w:rPr>
              <w:t>I</w:t>
            </w:r>
            <w:r w:rsidRPr="00536C7A">
              <w:rPr>
                <w:rFonts w:eastAsia="Calibri"/>
                <w:i/>
                <w:iCs/>
                <w:sz w:val="20"/>
                <w:szCs w:val="20"/>
                <w:vertAlign w:val="subscript"/>
              </w:rPr>
              <w:t>aT</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areal average of the total initial abstraction</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rPr>
            </w:pPr>
            <w:r w:rsidRPr="00536C7A">
              <w:rPr>
                <w:rFonts w:eastAsia="Calibri"/>
                <w:i/>
                <w:iCs/>
                <w:sz w:val="20"/>
                <w:szCs w:val="20"/>
              </w:rPr>
              <w:t>I</w:t>
            </w:r>
            <w:r w:rsidRPr="00536C7A">
              <w:rPr>
                <w:rFonts w:eastAsia="Calibri"/>
                <w:i/>
                <w:iCs/>
                <w:sz w:val="20"/>
                <w:szCs w:val="20"/>
                <w:vertAlign w:val="subscript"/>
              </w:rPr>
              <w:t>aW</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effective initial abstraction of a watershed</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i/>
                <w:iCs/>
                <w:sz w:val="20"/>
                <w:szCs w:val="20"/>
              </w:rPr>
              <w:t>I</w:t>
            </w:r>
            <w:r w:rsidRPr="00536C7A">
              <w:rPr>
                <w:rFonts w:eastAsia="Calibri"/>
                <w:i/>
                <w:iCs/>
                <w:sz w:val="20"/>
                <w:szCs w:val="20"/>
                <w:vertAlign w:val="subscript"/>
              </w:rPr>
              <w:t>a</w:t>
            </w:r>
            <w:r w:rsidRPr="00536C7A">
              <w:rPr>
                <w:rFonts w:eastAsia="Calibri"/>
                <w:sz w:val="20"/>
                <w:szCs w:val="20"/>
                <w:vertAlign w:val="subscript"/>
              </w:rPr>
              <w:t>,max</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 xml:space="preserve">maximum value of </w:t>
            </w:r>
            <w:r w:rsidRPr="00536C7A">
              <w:rPr>
                <w:rFonts w:eastAsia="Calibri"/>
                <w:i/>
                <w:iCs/>
                <w:sz w:val="20"/>
                <w:szCs w:val="20"/>
              </w:rPr>
              <w:t>I</w:t>
            </w:r>
            <w:r w:rsidRPr="00536C7A">
              <w:rPr>
                <w:rFonts w:eastAsia="Calibri"/>
                <w:i/>
                <w:iCs/>
                <w:sz w:val="20"/>
                <w:szCs w:val="20"/>
                <w:vertAlign w:val="subscript"/>
              </w:rPr>
              <w:t>a</w:t>
            </w:r>
            <w:r w:rsidRPr="00536C7A">
              <w:rPr>
                <w:rFonts w:eastAsia="Calibri"/>
                <w:sz w:val="20"/>
                <w:szCs w:val="20"/>
              </w:rPr>
              <w:t xml:space="preserve"> within a watershed</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rPr>
            </w:pPr>
            <w:r w:rsidRPr="00536C7A">
              <w:rPr>
                <w:rFonts w:eastAsia="Calibri"/>
                <w:i/>
                <w:iCs/>
                <w:sz w:val="20"/>
                <w:szCs w:val="20"/>
              </w:rPr>
              <w:t>λ</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initial abstraction ratio, applicable to any spatial scale</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vertAlign w:val="subscript"/>
              </w:rPr>
            </w:pPr>
            <w:r w:rsidRPr="00536C7A">
              <w:rPr>
                <w:rFonts w:eastAsia="Calibri"/>
                <w:i/>
                <w:iCs/>
                <w:sz w:val="20"/>
                <w:szCs w:val="20"/>
              </w:rPr>
              <w:t>λ</w:t>
            </w:r>
            <w:r w:rsidRPr="00536C7A">
              <w:rPr>
                <w:rFonts w:eastAsia="Calibri"/>
                <w:i/>
                <w:iCs/>
                <w:sz w:val="20"/>
                <w:szCs w:val="20"/>
                <w:vertAlign w:val="subscript"/>
              </w:rPr>
              <w:t>i</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initial abstraction ratio at HRU scale</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vertAlign w:val="subscript"/>
              </w:rPr>
            </w:pPr>
            <w:r w:rsidRPr="00536C7A">
              <w:rPr>
                <w:rFonts w:eastAsia="Calibri"/>
                <w:i/>
                <w:iCs/>
                <w:sz w:val="20"/>
                <w:szCs w:val="20"/>
              </w:rPr>
              <w:t>λ</w:t>
            </w:r>
            <w:r w:rsidRPr="00536C7A">
              <w:rPr>
                <w:rFonts w:eastAsia="Calibri"/>
                <w:i/>
                <w:iCs/>
                <w:sz w:val="20"/>
                <w:szCs w:val="20"/>
                <w:vertAlign w:val="subscript"/>
              </w:rPr>
              <w:t>W</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initial abstraction ratio at watershed scale</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rPr>
            </w:pPr>
            <w:r w:rsidRPr="00536C7A">
              <w:rPr>
                <w:rFonts w:eastAsia="Calibri"/>
                <w:i/>
                <w:iCs/>
                <w:sz w:val="20"/>
                <w:szCs w:val="20"/>
              </w:rPr>
              <w:t>m</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no. of</w:t>
            </w:r>
            <w:r w:rsidR="00BC7C58">
              <w:rPr>
                <w:rFonts w:eastAsia="Calibri"/>
                <w:sz w:val="20"/>
                <w:szCs w:val="20"/>
              </w:rPr>
              <w:t xml:space="preserve"> fully filled</w:t>
            </w:r>
            <w:r w:rsidRPr="00536C7A">
              <w:rPr>
                <w:rFonts w:eastAsia="Calibri"/>
                <w:sz w:val="20"/>
                <w:szCs w:val="20"/>
              </w:rPr>
              <w:t xml:space="preserve"> HRUs </w:t>
            </w:r>
            <w:r w:rsidR="00BC7C58">
              <w:rPr>
                <w:rFonts w:eastAsia="Calibri"/>
                <w:sz w:val="20"/>
                <w:szCs w:val="20"/>
              </w:rPr>
              <w:t xml:space="preserve">in which </w:t>
            </w:r>
            <w:r w:rsidR="00BC7C58" w:rsidRPr="00536C7A">
              <w:rPr>
                <w:rFonts w:eastAsia="Calibri"/>
                <w:i/>
                <w:iCs/>
                <w:sz w:val="20"/>
                <w:szCs w:val="20"/>
              </w:rPr>
              <w:t>I</w:t>
            </w:r>
            <w:r w:rsidR="00BC7C58" w:rsidRPr="00536C7A">
              <w:rPr>
                <w:rFonts w:eastAsia="Calibri"/>
                <w:i/>
                <w:iCs/>
                <w:sz w:val="20"/>
                <w:szCs w:val="20"/>
                <w:vertAlign w:val="subscript"/>
              </w:rPr>
              <w:t>ai</w:t>
            </w:r>
            <w:r w:rsidR="00BC7C58">
              <w:rPr>
                <w:rFonts w:eastAsia="Calibri"/>
                <w:sz w:val="20"/>
                <w:szCs w:val="20"/>
              </w:rPr>
              <w:t xml:space="preserve"> ≠ 0</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rPr>
            </w:pPr>
            <w:r w:rsidRPr="00536C7A">
              <w:rPr>
                <w:rFonts w:eastAsia="Calibri"/>
                <w:i/>
                <w:iCs/>
                <w:sz w:val="20"/>
                <w:szCs w:val="20"/>
              </w:rPr>
              <w:t>n</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 xml:space="preserve">no. of HRUs </w:t>
            </w:r>
            <w:r w:rsidR="00BC7C58">
              <w:rPr>
                <w:rFonts w:eastAsia="Calibri"/>
                <w:sz w:val="20"/>
                <w:szCs w:val="20"/>
              </w:rPr>
              <w:t xml:space="preserve">in which </w:t>
            </w:r>
            <w:r w:rsidR="00BC7C58" w:rsidRPr="00536C7A">
              <w:rPr>
                <w:rFonts w:eastAsia="Calibri"/>
                <w:i/>
                <w:iCs/>
                <w:sz w:val="20"/>
                <w:szCs w:val="20"/>
              </w:rPr>
              <w:t>I</w:t>
            </w:r>
            <w:r w:rsidR="00BC7C58" w:rsidRPr="00536C7A">
              <w:rPr>
                <w:rFonts w:eastAsia="Calibri"/>
                <w:i/>
                <w:iCs/>
                <w:sz w:val="20"/>
                <w:szCs w:val="20"/>
                <w:vertAlign w:val="subscript"/>
              </w:rPr>
              <w:t>ai</w:t>
            </w:r>
            <w:r w:rsidR="00BC7C58">
              <w:rPr>
                <w:rFonts w:eastAsia="Calibri"/>
                <w:sz w:val="20"/>
                <w:szCs w:val="20"/>
              </w:rPr>
              <w:t xml:space="preserve"> ≠ 0 </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sz w:val="20"/>
                <w:szCs w:val="20"/>
              </w:rPr>
              <w:t>NSE</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Nash-Sutcliffe efficiency parameter</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rPr>
            </w:pPr>
            <w:r w:rsidRPr="00536C7A">
              <w:rPr>
                <w:rFonts w:eastAsia="Calibri"/>
                <w:i/>
                <w:iCs/>
                <w:sz w:val="20"/>
                <w:szCs w:val="20"/>
              </w:rPr>
              <w:t>P</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event rainfall</w:t>
            </w:r>
          </w:p>
        </w:tc>
      </w:tr>
      <w:tr w:rsidR="00D339F4" w:rsidRPr="00536C7A" w:rsidTr="00C33D4C">
        <w:trPr>
          <w:trHeight w:hRule="exact" w:val="510"/>
        </w:trPr>
        <w:tc>
          <w:tcPr>
            <w:tcW w:w="983" w:type="dxa"/>
          </w:tcPr>
          <w:p w:rsidR="00D339F4" w:rsidRPr="00536C7A" w:rsidRDefault="00D339F4" w:rsidP="00C33D4C">
            <w:pPr>
              <w:spacing w:before="240"/>
              <w:rPr>
                <w:rFonts w:eastAsia="Calibri"/>
                <w:iCs/>
                <w:sz w:val="20"/>
                <w:szCs w:val="20"/>
              </w:rPr>
            </w:pPr>
            <w:r w:rsidRPr="00536C7A">
              <w:rPr>
                <w:rFonts w:eastAsia="Calibri"/>
                <w:iCs/>
                <w:sz w:val="20"/>
                <w:szCs w:val="20"/>
              </w:rPr>
              <w:lastRenderedPageBreak/>
              <w:t>PB</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percent bias</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rPr>
            </w:pPr>
            <w:r w:rsidRPr="00536C7A">
              <w:rPr>
                <w:rFonts w:eastAsia="Calibri"/>
                <w:i/>
                <w:iCs/>
                <w:sz w:val="20"/>
                <w:szCs w:val="20"/>
              </w:rPr>
              <w:t>Q</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event runoff</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sz w:val="20"/>
                <w:szCs w:val="20"/>
              </w:rPr>
              <w:t>R</w:t>
            </w:r>
            <w:r w:rsidRPr="00536C7A">
              <w:rPr>
                <w:rFonts w:eastAsia="Calibri"/>
                <w:sz w:val="20"/>
                <w:szCs w:val="20"/>
                <w:vertAlign w:val="superscript"/>
              </w:rPr>
              <w:t>2</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coefficient of determination</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rPr>
            </w:pPr>
            <w:r w:rsidRPr="00536C7A">
              <w:rPr>
                <w:rFonts w:eastAsia="Calibri"/>
                <w:i/>
                <w:iCs/>
                <w:sz w:val="20"/>
                <w:szCs w:val="20"/>
              </w:rPr>
              <w:t>S</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potential maximum retention, applicable to any spatial scale</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vertAlign w:val="subscript"/>
              </w:rPr>
            </w:pPr>
            <w:r w:rsidRPr="00536C7A">
              <w:rPr>
                <w:rFonts w:eastAsia="Calibri"/>
                <w:i/>
                <w:iCs/>
                <w:sz w:val="20"/>
                <w:szCs w:val="20"/>
              </w:rPr>
              <w:t>S</w:t>
            </w:r>
            <w:r w:rsidRPr="00536C7A">
              <w:rPr>
                <w:rFonts w:eastAsia="Calibri"/>
                <w:i/>
                <w:iCs/>
                <w:sz w:val="20"/>
                <w:szCs w:val="20"/>
                <w:vertAlign w:val="subscript"/>
              </w:rPr>
              <w:t>i</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 xml:space="preserve">potential maximum retention of </w:t>
            </w:r>
            <w:r w:rsidRPr="00536C7A">
              <w:rPr>
                <w:rFonts w:eastAsia="Calibri"/>
                <w:i/>
                <w:iCs/>
                <w:sz w:val="20"/>
                <w:szCs w:val="20"/>
              </w:rPr>
              <w:t>i</w:t>
            </w:r>
            <w:r w:rsidRPr="00536C7A">
              <w:rPr>
                <w:rFonts w:eastAsia="Calibri"/>
                <w:i/>
                <w:iCs/>
                <w:sz w:val="20"/>
                <w:szCs w:val="20"/>
                <w:vertAlign w:val="superscript"/>
              </w:rPr>
              <w:t>th</w:t>
            </w:r>
            <w:r w:rsidRPr="00536C7A">
              <w:rPr>
                <w:rFonts w:eastAsia="Calibri"/>
                <w:sz w:val="20"/>
                <w:szCs w:val="20"/>
              </w:rPr>
              <w:t xml:space="preserve"> HRU</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rPr>
            </w:pPr>
            <w:r w:rsidRPr="00536C7A">
              <w:rPr>
                <w:rFonts w:eastAsia="Calibri"/>
                <w:i/>
                <w:iCs/>
                <w:sz w:val="20"/>
                <w:szCs w:val="20"/>
              </w:rPr>
              <w:t>S</w:t>
            </w:r>
            <w:r w:rsidRPr="00536C7A">
              <w:rPr>
                <w:rFonts w:eastAsia="Calibri"/>
                <w:i/>
                <w:iCs/>
                <w:sz w:val="20"/>
                <w:szCs w:val="20"/>
                <w:vertAlign w:val="subscript"/>
              </w:rPr>
              <w:t>∞</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 xml:space="preserve">maximum value of </w:t>
            </w:r>
            <w:r w:rsidRPr="00536C7A">
              <w:rPr>
                <w:rFonts w:eastAsia="Calibri"/>
                <w:i/>
                <w:iCs/>
                <w:sz w:val="20"/>
                <w:szCs w:val="20"/>
              </w:rPr>
              <w:t>S</w:t>
            </w:r>
            <w:r w:rsidRPr="00536C7A">
              <w:rPr>
                <w:rFonts w:eastAsia="Calibri"/>
                <w:i/>
                <w:iCs/>
                <w:sz w:val="20"/>
                <w:szCs w:val="20"/>
                <w:vertAlign w:val="subscript"/>
              </w:rPr>
              <w:t>W</w:t>
            </w:r>
            <w:r w:rsidRPr="00536C7A">
              <w:rPr>
                <w:rFonts w:eastAsia="Calibri"/>
                <w:iCs/>
                <w:sz w:val="20"/>
                <w:szCs w:val="20"/>
              </w:rPr>
              <w:t xml:space="preserve">, occurs when </w:t>
            </w:r>
            <w:r w:rsidRPr="00536C7A">
              <w:rPr>
                <w:rFonts w:eastAsia="Calibri"/>
                <w:i/>
                <w:iCs/>
                <w:sz w:val="20"/>
                <w:szCs w:val="20"/>
              </w:rPr>
              <w:t>P</w:t>
            </w:r>
            <w:r w:rsidRPr="00536C7A">
              <w:rPr>
                <w:rFonts w:eastAsia="Calibri"/>
                <w:iCs/>
                <w:sz w:val="20"/>
                <w:szCs w:val="20"/>
              </w:rPr>
              <w:t xml:space="preserve"> is infinitely large</w:t>
            </w:r>
          </w:p>
        </w:tc>
      </w:tr>
      <w:tr w:rsidR="00D339F4" w:rsidRPr="00536C7A" w:rsidTr="00C33D4C">
        <w:trPr>
          <w:trHeight w:hRule="exact" w:val="510"/>
        </w:trPr>
        <w:tc>
          <w:tcPr>
            <w:tcW w:w="983" w:type="dxa"/>
          </w:tcPr>
          <w:p w:rsidR="00D339F4" w:rsidRPr="00536C7A" w:rsidRDefault="00D339F4" w:rsidP="00C33D4C">
            <w:pPr>
              <w:spacing w:before="240"/>
              <w:rPr>
                <w:rFonts w:eastAsia="Calibri"/>
                <w:i/>
                <w:iCs/>
                <w:sz w:val="20"/>
                <w:szCs w:val="20"/>
                <w:vertAlign w:val="subscript"/>
              </w:rPr>
            </w:pPr>
            <w:r w:rsidRPr="00536C7A">
              <w:rPr>
                <w:rFonts w:eastAsia="Calibri"/>
                <w:i/>
                <w:iCs/>
                <w:sz w:val="20"/>
                <w:szCs w:val="20"/>
              </w:rPr>
              <w:t>S</w:t>
            </w:r>
            <w:r w:rsidRPr="00536C7A">
              <w:rPr>
                <w:rFonts w:eastAsia="Calibri"/>
                <w:i/>
                <w:iCs/>
                <w:sz w:val="20"/>
                <w:szCs w:val="20"/>
                <w:vertAlign w:val="subscript"/>
              </w:rPr>
              <w:t>W</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effective potential maximum retention of a watershed</w:t>
            </w:r>
          </w:p>
        </w:tc>
      </w:tr>
      <w:tr w:rsidR="00D339F4" w:rsidRPr="00536C7A" w:rsidTr="00C33D4C">
        <w:trPr>
          <w:trHeight w:hRule="exact" w:val="510"/>
        </w:trPr>
        <w:tc>
          <w:tcPr>
            <w:tcW w:w="983" w:type="dxa"/>
          </w:tcPr>
          <w:p w:rsidR="00D339F4" w:rsidRPr="00536C7A" w:rsidRDefault="00D339F4" w:rsidP="00C33D4C">
            <w:pPr>
              <w:spacing w:before="240"/>
              <w:rPr>
                <w:rFonts w:eastAsia="Calibri"/>
                <w:iCs/>
                <w:sz w:val="20"/>
                <w:szCs w:val="20"/>
              </w:rPr>
            </w:pPr>
            <w:r w:rsidRPr="00536C7A">
              <w:rPr>
                <w:rFonts w:eastAsia="Calibri"/>
                <w:iCs/>
                <w:sz w:val="20"/>
                <w:szCs w:val="20"/>
              </w:rPr>
              <w:t>SEE</w:t>
            </w:r>
          </w:p>
        </w:tc>
        <w:tc>
          <w:tcPr>
            <w:tcW w:w="381" w:type="dxa"/>
          </w:tcPr>
          <w:p w:rsidR="00D339F4" w:rsidRPr="00536C7A" w:rsidRDefault="00D339F4" w:rsidP="00C33D4C">
            <w:pPr>
              <w:spacing w:before="240"/>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sz w:val="20"/>
                <w:szCs w:val="20"/>
              </w:rPr>
            </w:pPr>
            <w:r w:rsidRPr="00536C7A">
              <w:rPr>
                <w:rFonts w:eastAsia="Calibri"/>
                <w:sz w:val="20"/>
                <w:szCs w:val="20"/>
              </w:rPr>
              <w:t>standard error of estimate</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sz w:val="20"/>
                <w:szCs w:val="20"/>
              </w:rPr>
              <w:t>VIMλ</w:t>
            </w:r>
          </w:p>
        </w:tc>
        <w:tc>
          <w:tcPr>
            <w:tcW w:w="381" w:type="dxa"/>
          </w:tcPr>
          <w:p w:rsidR="00D339F4" w:rsidRPr="00536C7A" w:rsidRDefault="00D339F4" w:rsidP="00C33D4C">
            <w:pPr>
              <w:spacing w:before="240"/>
              <w:jc w:val="center"/>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i/>
                <w:sz w:val="20"/>
                <w:szCs w:val="20"/>
              </w:rPr>
            </w:pPr>
            <w:r w:rsidRPr="00536C7A">
              <w:rPr>
                <w:rFonts w:eastAsia="Calibri"/>
                <w:sz w:val="20"/>
                <w:szCs w:val="20"/>
              </w:rPr>
              <w:t>variable initial abstraction model in which</w:t>
            </w:r>
            <w:r w:rsidRPr="00536C7A">
              <w:rPr>
                <w:rFonts w:eastAsia="Calibri"/>
                <w:i/>
                <w:iCs/>
                <w:sz w:val="20"/>
                <w:szCs w:val="20"/>
              </w:rPr>
              <w:t xml:space="preserve"> λ</w:t>
            </w:r>
            <w:r w:rsidRPr="00536C7A">
              <w:rPr>
                <w:rFonts w:eastAsia="Calibri"/>
                <w:sz w:val="20"/>
                <w:szCs w:val="20"/>
              </w:rPr>
              <w:t xml:space="preserve"> is calibrated</w:t>
            </w:r>
          </w:p>
        </w:tc>
      </w:tr>
      <w:tr w:rsidR="00D339F4" w:rsidRPr="00536C7A" w:rsidTr="00C33D4C">
        <w:trPr>
          <w:trHeight w:hRule="exact" w:val="510"/>
        </w:trPr>
        <w:tc>
          <w:tcPr>
            <w:tcW w:w="983" w:type="dxa"/>
          </w:tcPr>
          <w:p w:rsidR="00D339F4" w:rsidRPr="00536C7A" w:rsidRDefault="00D339F4" w:rsidP="00C33D4C">
            <w:pPr>
              <w:spacing w:before="240"/>
              <w:rPr>
                <w:rFonts w:eastAsia="Calibri"/>
                <w:sz w:val="20"/>
                <w:szCs w:val="20"/>
              </w:rPr>
            </w:pPr>
            <w:r w:rsidRPr="00536C7A">
              <w:rPr>
                <w:rFonts w:eastAsia="Calibri"/>
                <w:sz w:val="20"/>
                <w:szCs w:val="20"/>
              </w:rPr>
              <w:t>VIMS</w:t>
            </w:r>
          </w:p>
        </w:tc>
        <w:tc>
          <w:tcPr>
            <w:tcW w:w="381" w:type="dxa"/>
          </w:tcPr>
          <w:p w:rsidR="00D339F4" w:rsidRPr="00536C7A" w:rsidRDefault="00D339F4" w:rsidP="00C33D4C">
            <w:pPr>
              <w:spacing w:before="240"/>
              <w:jc w:val="center"/>
              <w:rPr>
                <w:rFonts w:eastAsia="Calibri"/>
                <w:sz w:val="20"/>
                <w:szCs w:val="20"/>
              </w:rPr>
            </w:pPr>
            <w:r w:rsidRPr="00536C7A">
              <w:rPr>
                <w:rFonts w:eastAsia="Calibri"/>
                <w:sz w:val="20"/>
                <w:szCs w:val="20"/>
              </w:rPr>
              <w:t>=</w:t>
            </w:r>
          </w:p>
        </w:tc>
        <w:tc>
          <w:tcPr>
            <w:tcW w:w="6412" w:type="dxa"/>
          </w:tcPr>
          <w:p w:rsidR="00D339F4" w:rsidRPr="00536C7A" w:rsidRDefault="00D339F4" w:rsidP="00C33D4C">
            <w:pPr>
              <w:spacing w:before="240"/>
              <w:rPr>
                <w:rFonts w:eastAsia="Calibri"/>
                <w:i/>
                <w:sz w:val="20"/>
                <w:szCs w:val="20"/>
              </w:rPr>
            </w:pPr>
            <w:r w:rsidRPr="00536C7A">
              <w:rPr>
                <w:rFonts w:eastAsia="Calibri"/>
                <w:sz w:val="20"/>
                <w:szCs w:val="20"/>
              </w:rPr>
              <w:t xml:space="preserve">variable initial abstraction model in which </w:t>
            </w:r>
            <w:r w:rsidRPr="00536C7A">
              <w:rPr>
                <w:rFonts w:eastAsia="Calibri"/>
                <w:i/>
                <w:sz w:val="20"/>
                <w:szCs w:val="20"/>
              </w:rPr>
              <w:t>S</w:t>
            </w:r>
            <w:r w:rsidRPr="00536C7A">
              <w:rPr>
                <w:rFonts w:eastAsia="Calibri"/>
                <w:sz w:val="20"/>
                <w:szCs w:val="20"/>
              </w:rPr>
              <w:t xml:space="preserve"> is calibrated</w:t>
            </w:r>
          </w:p>
        </w:tc>
      </w:tr>
    </w:tbl>
    <w:p w:rsidR="00D339F4" w:rsidRPr="00D339F4" w:rsidRDefault="00D339F4" w:rsidP="00F33124">
      <w:pPr>
        <w:pStyle w:val="Heading2"/>
      </w:pPr>
      <w:bookmarkStart w:id="102" w:name="_Toc479817877"/>
      <w:bookmarkStart w:id="103" w:name="_Toc481658253"/>
      <w:r w:rsidRPr="00D339F4">
        <w:t>References</w:t>
      </w:r>
      <w:bookmarkEnd w:id="102"/>
      <w:bookmarkEnd w:id="103"/>
    </w:p>
    <w:p w:rsidR="00C33D4C" w:rsidRPr="00D339F4" w:rsidRDefault="00D339F4" w:rsidP="00C33D4C">
      <w:pPr>
        <w:pStyle w:val="NormalNew"/>
        <w:rPr>
          <w:lang w:bidi="te-IN"/>
        </w:rPr>
      </w:pPr>
      <w:r w:rsidRPr="00D339F4">
        <w:rPr>
          <w:lang w:bidi="te-IN"/>
        </w:rPr>
        <w:t>Baltas E.A., Dervos N.A. and Mimikou M.A. 2007. Technical note: Determination of the SCS initial abstraction ratio i</w:t>
      </w:r>
      <w:r w:rsidR="0067389A">
        <w:rPr>
          <w:lang w:bidi="te-IN"/>
        </w:rPr>
        <w:t>n an experimental watershed in G</w:t>
      </w:r>
      <w:r w:rsidRPr="00D339F4">
        <w:rPr>
          <w:lang w:bidi="te-IN"/>
        </w:rPr>
        <w:t>reece. Hydrol. Earth Syst. Sci. 11:1825-1829. doi: 10.5194/hess-11-1825-2007.</w:t>
      </w:r>
    </w:p>
    <w:p w:rsidR="00D339F4" w:rsidRPr="00D339F4" w:rsidRDefault="00D339F4" w:rsidP="00C33D4C">
      <w:pPr>
        <w:pStyle w:val="NormalNew"/>
        <w:rPr>
          <w:lang w:bidi="te-IN"/>
        </w:rPr>
      </w:pPr>
      <w:r w:rsidRPr="00D339F4">
        <w:rPr>
          <w:lang w:bidi="te-IN"/>
        </w:rPr>
        <w:t>Bingner R.L., Theurer F.D. and Yuan Y. 2011. AnnAGNPS technical processes documentation. 5.2.</w:t>
      </w:r>
    </w:p>
    <w:p w:rsidR="00C33D4C" w:rsidRPr="00D339F4" w:rsidRDefault="00D339F4" w:rsidP="00C33D4C">
      <w:pPr>
        <w:pStyle w:val="NormalNew"/>
        <w:rPr>
          <w:lang w:bidi="te-IN"/>
        </w:rPr>
      </w:pPr>
      <w:r w:rsidRPr="00D339F4">
        <w:rPr>
          <w:lang w:bidi="te-IN"/>
        </w:rPr>
        <w:t>D’Asaro F. and Grillone G. 20</w:t>
      </w:r>
      <w:r w:rsidR="0067389A">
        <w:rPr>
          <w:lang w:bidi="te-IN"/>
        </w:rPr>
        <w:t>12. Empirical investigation of Curve Number Method parameters in the M</w:t>
      </w:r>
      <w:r w:rsidRPr="00D339F4">
        <w:rPr>
          <w:lang w:bidi="te-IN"/>
        </w:rPr>
        <w:t>editerranean area. J. Hydrol. Eng. 17:1141-1152. doi: 10.1061/(ASCE)HE.1943-5584.0000570.</w:t>
      </w:r>
    </w:p>
    <w:p w:rsidR="00C33D4C" w:rsidRPr="00D339F4" w:rsidRDefault="0067389A" w:rsidP="00C33D4C">
      <w:pPr>
        <w:pStyle w:val="NormalNew"/>
        <w:rPr>
          <w:lang w:bidi="te-IN"/>
        </w:rPr>
      </w:pPr>
      <w:r>
        <w:rPr>
          <w:lang w:bidi="te-IN"/>
        </w:rPr>
        <w:t>D’</w:t>
      </w:r>
      <w:r w:rsidR="00D339F4" w:rsidRPr="00D339F4">
        <w:rPr>
          <w:lang w:bidi="te-IN"/>
        </w:rPr>
        <w:t>Asaro F. and Grillo</w:t>
      </w:r>
      <w:r>
        <w:rPr>
          <w:lang w:bidi="te-IN"/>
        </w:rPr>
        <w:t>ne G. 2015. Discussion: "Curve N</w:t>
      </w:r>
      <w:r w:rsidR="00D339F4" w:rsidRPr="00D339F4">
        <w:rPr>
          <w:lang w:bidi="te-IN"/>
        </w:rPr>
        <w:t xml:space="preserve">umber derivation for watersheds draining two headwater </w:t>
      </w:r>
      <w:r>
        <w:rPr>
          <w:lang w:bidi="te-IN"/>
        </w:rPr>
        <w:t>streams in lower coastal plain South Carolina, USA” by Epps T.H., Hitchcock D.R., J</w:t>
      </w:r>
      <w:r w:rsidR="00D339F4" w:rsidRPr="00D339F4">
        <w:rPr>
          <w:lang w:bidi="te-IN"/>
        </w:rPr>
        <w:t>ayakaran</w:t>
      </w:r>
      <w:r>
        <w:rPr>
          <w:lang w:bidi="te-IN"/>
        </w:rPr>
        <w:t xml:space="preserve"> A.D.</w:t>
      </w:r>
      <w:r w:rsidR="00D339F4" w:rsidRPr="00D339F4">
        <w:rPr>
          <w:lang w:bidi="te-IN"/>
        </w:rPr>
        <w:t>,</w:t>
      </w:r>
      <w:r>
        <w:rPr>
          <w:lang w:bidi="te-IN"/>
        </w:rPr>
        <w:t xml:space="preserve"> Loflin D.R., Williams T.H., and A</w:t>
      </w:r>
      <w:r w:rsidR="00D339F4" w:rsidRPr="00D339F4">
        <w:rPr>
          <w:lang w:bidi="te-IN"/>
        </w:rPr>
        <w:t>matya</w:t>
      </w:r>
      <w:r>
        <w:rPr>
          <w:lang w:bidi="te-IN"/>
        </w:rPr>
        <w:t xml:space="preserve"> D.M</w:t>
      </w:r>
      <w:r w:rsidR="00D339F4" w:rsidRPr="00D339F4">
        <w:rPr>
          <w:lang w:bidi="te-IN"/>
        </w:rPr>
        <w:t>. J. Am. Water Resour. Assoc. 51:573-578. doi: 10.1111/jawr.12264.</w:t>
      </w:r>
    </w:p>
    <w:p w:rsidR="00C33D4C" w:rsidRPr="00D339F4" w:rsidRDefault="00D339F4" w:rsidP="00C33D4C">
      <w:pPr>
        <w:pStyle w:val="NormalNew"/>
        <w:rPr>
          <w:lang w:bidi="te-IN"/>
        </w:rPr>
      </w:pPr>
      <w:r w:rsidRPr="00D339F4">
        <w:rPr>
          <w:lang w:bidi="te-IN"/>
        </w:rPr>
        <w:t xml:space="preserve">Gassman P.W., Reyes M.R., Green </w:t>
      </w:r>
      <w:r w:rsidR="0067389A">
        <w:rPr>
          <w:lang w:bidi="te-IN"/>
        </w:rPr>
        <w:t>C.H. and Arnold J.G. 2007. The Soil and Water Assessment T</w:t>
      </w:r>
      <w:r w:rsidRPr="00D339F4">
        <w:rPr>
          <w:lang w:bidi="te-IN"/>
        </w:rPr>
        <w:t>ool—Historical development applications, and future research directions. Trans. ASABE 50:1211-1240.</w:t>
      </w:r>
    </w:p>
    <w:p w:rsidR="00C33D4C" w:rsidRPr="00D339F4" w:rsidRDefault="00D339F4" w:rsidP="00C33D4C">
      <w:pPr>
        <w:pStyle w:val="NormalNew"/>
        <w:rPr>
          <w:lang w:bidi="te-IN"/>
        </w:rPr>
      </w:pPr>
      <w:r w:rsidRPr="00D339F4">
        <w:rPr>
          <w:lang w:bidi="te-IN"/>
        </w:rPr>
        <w:t>Hawkins R. 1993. Asym</w:t>
      </w:r>
      <w:r w:rsidR="0067389A">
        <w:rPr>
          <w:lang w:bidi="te-IN"/>
        </w:rPr>
        <w:t>ptotic determination of runoff Curve N</w:t>
      </w:r>
      <w:r w:rsidRPr="00D339F4">
        <w:rPr>
          <w:lang w:bidi="te-IN"/>
        </w:rPr>
        <w:t>umbers from data. J. Irrig. Drain. Eng. 119:334-345. doi: 10.1061/(ASCE)0733-9437(1993)119:2(334).</w:t>
      </w:r>
    </w:p>
    <w:p w:rsidR="00C33D4C" w:rsidRDefault="00D339F4" w:rsidP="00C33D4C">
      <w:pPr>
        <w:pStyle w:val="NormalNew"/>
        <w:rPr>
          <w:lang w:bidi="te-IN"/>
        </w:rPr>
      </w:pPr>
      <w:r w:rsidRPr="00D339F4">
        <w:rPr>
          <w:lang w:bidi="te-IN"/>
        </w:rPr>
        <w:lastRenderedPageBreak/>
        <w:t xml:space="preserve">Hawkins R., Ward T., Woodward D. and </w:t>
      </w:r>
      <w:r w:rsidR="0067389A">
        <w:rPr>
          <w:lang w:bidi="te-IN"/>
        </w:rPr>
        <w:t>Van Mullem J. 2008. Curve N</w:t>
      </w:r>
      <w:r w:rsidRPr="00D339F4">
        <w:rPr>
          <w:lang w:bidi="te-IN"/>
        </w:rPr>
        <w:t>umber hydrology: State of practice. American Society of Civil Engineers, Reston, VA.</w:t>
      </w:r>
    </w:p>
    <w:p w:rsidR="00BD1DBE" w:rsidRPr="00D339F4" w:rsidRDefault="00BD1DBE" w:rsidP="00C33D4C">
      <w:pPr>
        <w:pStyle w:val="NormalNew"/>
        <w:rPr>
          <w:lang w:bidi="te-IN"/>
        </w:rPr>
      </w:pPr>
      <w:r>
        <w:rPr>
          <w:lang w:bidi="te-IN"/>
        </w:rPr>
        <w:t>Hjelmfelt Jr. A. T., Woodward D. A., Conaway G., Plummer A., Quan</w:t>
      </w:r>
      <w:r w:rsidRPr="00BD1DBE">
        <w:rPr>
          <w:lang w:bidi="te-IN"/>
        </w:rPr>
        <w:t xml:space="preserve"> Q. D., Van </w:t>
      </w:r>
      <w:r>
        <w:rPr>
          <w:lang w:bidi="te-IN"/>
        </w:rPr>
        <w:t>Mullen J., Hawkins R. H., and Rietz D. 2001.</w:t>
      </w:r>
      <w:r w:rsidRPr="00BD1DBE">
        <w:rPr>
          <w:lang w:bidi="te-IN"/>
        </w:rPr>
        <w:t xml:space="preserve"> Curve numbers, recent developments, in: Proc. of the 29th Congress of the Int. As. for Hydraul. Res., Beijing, China</w:t>
      </w:r>
      <w:r>
        <w:rPr>
          <w:lang w:bidi="te-IN"/>
        </w:rPr>
        <w:t>.</w:t>
      </w:r>
      <w:r w:rsidRPr="00BD1DBE">
        <w:rPr>
          <w:lang w:bidi="te-IN"/>
        </w:rPr>
        <w:t xml:space="preserve"> 17–21 September, 2001.</w:t>
      </w:r>
    </w:p>
    <w:p w:rsidR="00C33D4C" w:rsidRDefault="00D339F4" w:rsidP="00C33D4C">
      <w:pPr>
        <w:pStyle w:val="NormalNew"/>
        <w:rPr>
          <w:lang w:bidi="te-IN"/>
        </w:rPr>
      </w:pPr>
      <w:r w:rsidRPr="00D339F4">
        <w:rPr>
          <w:lang w:bidi="te-IN"/>
        </w:rPr>
        <w:t xml:space="preserve">HydroCAD. </w:t>
      </w:r>
      <w:r w:rsidRPr="0067389A">
        <w:rPr>
          <w:lang w:bidi="te-IN"/>
        </w:rPr>
        <w:t>&lt;http</w:t>
      </w:r>
      <w:r w:rsidR="0067389A">
        <w:rPr>
          <w:lang w:bidi="te-IN"/>
        </w:rPr>
        <w:t>://www.hydrocad.net</w:t>
      </w:r>
      <w:r w:rsidRPr="00D339F4">
        <w:rPr>
          <w:lang w:bidi="te-IN"/>
        </w:rPr>
        <w:t>&gt;.</w:t>
      </w:r>
    </w:p>
    <w:p w:rsidR="00EA210F" w:rsidRPr="00D339F4" w:rsidRDefault="00EA210F" w:rsidP="00C33D4C">
      <w:pPr>
        <w:pStyle w:val="NormalNew"/>
        <w:rPr>
          <w:lang w:bidi="te-IN"/>
        </w:rPr>
      </w:pPr>
      <w:r w:rsidRPr="00EA210F">
        <w:rPr>
          <w:lang w:bidi="te-IN"/>
        </w:rPr>
        <w:t>Kent, K. M. (1968). “A method for estimating volume and rate of runoff in small watersheds.” Technical Paper 149, USDA SCS, Washington, D.C.</w:t>
      </w:r>
    </w:p>
    <w:p w:rsidR="00C33D4C" w:rsidRDefault="00D339F4" w:rsidP="00C33D4C">
      <w:pPr>
        <w:pStyle w:val="NormalNew"/>
        <w:rPr>
          <w:lang w:bidi="te-IN"/>
        </w:rPr>
      </w:pPr>
      <w:r w:rsidRPr="00D339F4">
        <w:rPr>
          <w:lang w:bidi="te-IN"/>
        </w:rPr>
        <w:t>Knisel W.G. and Douglas-Mankin K.R. 2012. CREAMS/GLEAMS: Model use, calibration, and validation. Transactions of the ASABE 55:1291-1302.</w:t>
      </w:r>
    </w:p>
    <w:p w:rsidR="00FD13F3" w:rsidRPr="00D339F4" w:rsidRDefault="00FD13F3" w:rsidP="00C33D4C">
      <w:pPr>
        <w:pStyle w:val="NormalNew"/>
        <w:rPr>
          <w:lang w:bidi="te-IN"/>
        </w:rPr>
      </w:pPr>
      <w:r w:rsidRPr="00FD13F3">
        <w:rPr>
          <w:lang w:bidi="te-IN"/>
        </w:rPr>
        <w:t>Kraus</w:t>
      </w:r>
      <w:r>
        <w:rPr>
          <w:lang w:bidi="te-IN"/>
        </w:rPr>
        <w:t>e P., Boyle D.P., and Base F.</w:t>
      </w:r>
      <w:r w:rsidRPr="00FD13F3">
        <w:rPr>
          <w:lang w:bidi="te-IN"/>
        </w:rPr>
        <w:t xml:space="preserve"> 2005. Comparison of different efficiency criteria for hydrological m</w:t>
      </w:r>
      <w:r w:rsidR="00EA210F">
        <w:rPr>
          <w:lang w:bidi="te-IN"/>
        </w:rPr>
        <w:t>odel assessment. Adv. Geosci.</w:t>
      </w:r>
      <w:r>
        <w:rPr>
          <w:lang w:bidi="te-IN"/>
        </w:rPr>
        <w:t xml:space="preserve"> 5: 89-</w:t>
      </w:r>
      <w:r w:rsidRPr="00FD13F3">
        <w:rPr>
          <w:lang w:bidi="te-IN"/>
        </w:rPr>
        <w:t>97.</w:t>
      </w:r>
    </w:p>
    <w:p w:rsidR="00C33D4C" w:rsidRPr="00D339F4" w:rsidRDefault="00D339F4" w:rsidP="00C33D4C">
      <w:pPr>
        <w:pStyle w:val="NormalNew"/>
        <w:rPr>
          <w:lang w:bidi="te-IN"/>
        </w:rPr>
      </w:pPr>
      <w:r w:rsidRPr="00D339F4">
        <w:rPr>
          <w:lang w:bidi="te-IN"/>
        </w:rPr>
        <w:t>McCuen R.H. 2003. Modeling hydrologic change: Statistical methods. Lewis Publishers, Boca Raton, Fla.</w:t>
      </w:r>
    </w:p>
    <w:p w:rsidR="00C33D4C" w:rsidRPr="00D339F4" w:rsidRDefault="00D339F4" w:rsidP="00C33D4C">
      <w:pPr>
        <w:pStyle w:val="NormalNew"/>
        <w:rPr>
          <w:lang w:bidi="te-IN"/>
        </w:rPr>
      </w:pPr>
      <w:r w:rsidRPr="00D339F4">
        <w:rPr>
          <w:lang w:bidi="te-IN"/>
        </w:rPr>
        <w:t xml:space="preserve">Mishra S.K., Sahu R.K., Eldho T.I. and Jain M.K. 2006. An improved </w:t>
      </w:r>
      <w:r w:rsidRPr="00D339F4">
        <w:rPr>
          <w:i/>
          <w:iCs/>
          <w:lang w:bidi="te-IN"/>
        </w:rPr>
        <w:t>I</w:t>
      </w:r>
      <w:r w:rsidRPr="00D339F4">
        <w:rPr>
          <w:i/>
          <w:iCs/>
          <w:vertAlign w:val="subscript"/>
          <w:lang w:bidi="te-IN"/>
        </w:rPr>
        <w:t xml:space="preserve">a </w:t>
      </w:r>
      <w:r w:rsidRPr="00D339F4">
        <w:rPr>
          <w:lang w:bidi="te-IN"/>
        </w:rPr>
        <w:t>-</w:t>
      </w:r>
      <w:r w:rsidRPr="00D339F4">
        <w:rPr>
          <w:i/>
          <w:iCs/>
          <w:lang w:bidi="te-IN"/>
        </w:rPr>
        <w:t>S</w:t>
      </w:r>
      <w:r w:rsidRPr="00D339F4">
        <w:rPr>
          <w:lang w:bidi="te-IN"/>
        </w:rPr>
        <w:t xml:space="preserve"> relation incorporating antecedent moisture in SCS-CN methodology. Water Resour. Manage. 20:643-660. doi: 10.1007/s11269-005-9000-4.</w:t>
      </w:r>
    </w:p>
    <w:p w:rsidR="00C33D4C" w:rsidRPr="00D339F4" w:rsidRDefault="00D339F4" w:rsidP="00C33D4C">
      <w:pPr>
        <w:pStyle w:val="NormalNew"/>
        <w:rPr>
          <w:lang w:bidi="te-IN"/>
        </w:rPr>
      </w:pPr>
      <w:r w:rsidRPr="00D339F4">
        <w:rPr>
          <w:lang w:bidi="te-IN"/>
        </w:rPr>
        <w:t>Moriasi D.N., Arnold J.G., Van Liew M., Bingner R.L., Harmel R.D. and Veith T.L. 2007. Model evaluation guidelines for systematic quantification of accuracy in watershed simulations. Transactions of the ASABE 50:885-900.</w:t>
      </w:r>
    </w:p>
    <w:p w:rsidR="00C33D4C" w:rsidRPr="00D339F4" w:rsidRDefault="00D339F4" w:rsidP="00C33D4C">
      <w:pPr>
        <w:pStyle w:val="NormalNew"/>
        <w:rPr>
          <w:lang w:bidi="te-IN"/>
        </w:rPr>
      </w:pPr>
      <w:r w:rsidRPr="00D339F4">
        <w:rPr>
          <w:lang w:bidi="te-IN"/>
        </w:rPr>
        <w:t>Neitsch S.L., Arnold J.G., Kiniry J.R. an</w:t>
      </w:r>
      <w:r w:rsidR="0067389A">
        <w:rPr>
          <w:lang w:bidi="te-IN"/>
        </w:rPr>
        <w:t>d Williams J.R. 2005. Soil and Water Assessment T</w:t>
      </w:r>
      <w:r w:rsidRPr="00D339F4">
        <w:rPr>
          <w:lang w:bidi="te-IN"/>
        </w:rPr>
        <w:t>ool theoretical documentation (version 2005). Agricultural Research Service, Temple, TX.</w:t>
      </w:r>
    </w:p>
    <w:p w:rsidR="00C33D4C" w:rsidRPr="00D339F4" w:rsidRDefault="00D339F4" w:rsidP="00C33D4C">
      <w:pPr>
        <w:pStyle w:val="NormalNew"/>
        <w:rPr>
          <w:lang w:bidi="te-IN"/>
        </w:rPr>
      </w:pPr>
      <w:r w:rsidRPr="00D339F4">
        <w:rPr>
          <w:lang w:bidi="te-IN"/>
        </w:rPr>
        <w:t>NRCS. 2003. National e</w:t>
      </w:r>
      <w:r w:rsidR="0067389A">
        <w:rPr>
          <w:lang w:bidi="te-IN"/>
        </w:rPr>
        <w:t>ngineering handbook: Part 630, H</w:t>
      </w:r>
      <w:r w:rsidRPr="00D339F4">
        <w:rPr>
          <w:lang w:bidi="te-IN"/>
        </w:rPr>
        <w:t>ydrology. USDA, Washington, DC.</w:t>
      </w:r>
    </w:p>
    <w:p w:rsidR="00C33D4C" w:rsidRPr="00D339F4" w:rsidRDefault="00D339F4" w:rsidP="00C33D4C">
      <w:pPr>
        <w:pStyle w:val="NormalNew"/>
        <w:rPr>
          <w:lang w:bidi="te-IN"/>
        </w:rPr>
      </w:pPr>
      <w:r w:rsidRPr="00D339F4">
        <w:rPr>
          <w:lang w:bidi="te-IN"/>
        </w:rPr>
        <w:t>Panday S. and Huyakorn P.S. 2004. A fully coupled physically-based spatially-distributed model for evaluating surface/subsurface flow. Adv. Water Resour. 27:361-382. doi: 10.1016/j.advwatres.2004.02.016.</w:t>
      </w:r>
    </w:p>
    <w:p w:rsidR="00C33D4C" w:rsidRPr="00D339F4" w:rsidRDefault="00D339F4" w:rsidP="00C33D4C">
      <w:pPr>
        <w:pStyle w:val="NormalNew"/>
        <w:rPr>
          <w:lang w:bidi="te-IN"/>
        </w:rPr>
      </w:pPr>
      <w:r w:rsidRPr="00D339F4">
        <w:rPr>
          <w:lang w:bidi="te-IN"/>
        </w:rPr>
        <w:t xml:space="preserve">Ponce </w:t>
      </w:r>
      <w:r w:rsidR="0067389A">
        <w:rPr>
          <w:lang w:bidi="te-IN"/>
        </w:rPr>
        <w:t>V. and Hawkins R. 1996. Runoff Curve N</w:t>
      </w:r>
      <w:r w:rsidRPr="00D339F4">
        <w:rPr>
          <w:lang w:bidi="te-IN"/>
        </w:rPr>
        <w:t>umber: Has it reached maturity? J. Hydrol. Eng. 1:11-19. doi: 10.1061/(ASCE)1084-0699(1996)1:1(11).</w:t>
      </w:r>
    </w:p>
    <w:p w:rsidR="00C33D4C" w:rsidRDefault="00D339F4" w:rsidP="00C33D4C">
      <w:pPr>
        <w:pStyle w:val="NormalNew"/>
        <w:rPr>
          <w:lang w:bidi="te-IN"/>
        </w:rPr>
      </w:pPr>
      <w:r w:rsidRPr="00D339F4">
        <w:rPr>
          <w:lang w:bidi="te-IN"/>
        </w:rPr>
        <w:lastRenderedPageBreak/>
        <w:t xml:space="preserve">Rallison R.E. and Miller N. 1982. Past, present, and future SCS runoff procedure. p. 353-364. </w:t>
      </w:r>
      <w:r w:rsidRPr="00D339F4">
        <w:rPr>
          <w:i/>
          <w:iCs/>
          <w:lang w:bidi="te-IN"/>
        </w:rPr>
        <w:t xml:space="preserve">In </w:t>
      </w:r>
      <w:r w:rsidRPr="00D339F4">
        <w:rPr>
          <w:lang w:bidi="te-IN"/>
        </w:rPr>
        <w:t>V.P. Singh (ed.) Proceedings of the international symposium on rainfall runoff modeling: Rainfall-runoff relationship, Mississippi State University, Mississippi. May 18-21, 1981 Water Resources Publications, Littleton, Colorado.</w:t>
      </w:r>
    </w:p>
    <w:p w:rsidR="0074490C" w:rsidRPr="00D339F4" w:rsidRDefault="0074490C" w:rsidP="00C33D4C">
      <w:pPr>
        <w:pStyle w:val="NormalNew"/>
        <w:rPr>
          <w:lang w:bidi="te-IN"/>
        </w:rPr>
      </w:pPr>
      <w:r w:rsidRPr="0074490C">
        <w:rPr>
          <w:lang w:bidi="te-IN"/>
        </w:rPr>
        <w:t xml:space="preserve">Santikari V. P. 2017. Accounting for Spatiotemporal Variations of Curve Number using Variable Initial Abstraction and Antecedent Moisture. Chapter 5. </w:t>
      </w:r>
      <w:r w:rsidRPr="0074490C">
        <w:rPr>
          <w:i/>
          <w:lang w:bidi="te-IN"/>
        </w:rPr>
        <w:t>In</w:t>
      </w:r>
      <w:r w:rsidRPr="0074490C">
        <w:rPr>
          <w:lang w:bidi="te-IN"/>
        </w:rPr>
        <w:t xml:space="preserve"> Evaluating Effects of Construction-Related Land Use Change on Streamflow and Water Quality (Doctoral dissertation). </w:t>
      </w:r>
      <w:hyperlink r:id="rId72" w:history="1">
        <w:r w:rsidRPr="003576D1">
          <w:rPr>
            <w:rStyle w:val="Hyperlink"/>
            <w:lang w:bidi="te-IN"/>
          </w:rPr>
          <w:t>https://tigerprints.clemson.edu/all_dissertations/1942</w:t>
        </w:r>
      </w:hyperlink>
    </w:p>
    <w:p w:rsidR="00D339F4" w:rsidRPr="00D339F4" w:rsidRDefault="00D339F4" w:rsidP="00C33D4C">
      <w:pPr>
        <w:pStyle w:val="NormalNew"/>
        <w:rPr>
          <w:lang w:bidi="te-IN"/>
        </w:rPr>
      </w:pPr>
      <w:r w:rsidRPr="00D339F4">
        <w:rPr>
          <w:lang w:bidi="te-IN"/>
        </w:rPr>
        <w:t>Sant</w:t>
      </w:r>
      <w:r w:rsidR="003923C9">
        <w:rPr>
          <w:lang w:bidi="te-IN"/>
        </w:rPr>
        <w:t>ikari V.P. and Murdoch L.C. 2018</w:t>
      </w:r>
      <w:r w:rsidRPr="00D339F4">
        <w:rPr>
          <w:lang w:bidi="te-IN"/>
        </w:rPr>
        <w:t>. Accounting fo</w:t>
      </w:r>
      <w:r w:rsidR="0067389A">
        <w:rPr>
          <w:lang w:bidi="te-IN"/>
        </w:rPr>
        <w:t>r spatiotemporal variations of Curve N</w:t>
      </w:r>
      <w:r w:rsidRPr="00D339F4">
        <w:rPr>
          <w:lang w:bidi="te-IN"/>
        </w:rPr>
        <w:t>umber using variable initial abstraction and antecedent moisture.</w:t>
      </w:r>
      <w:r w:rsidR="0074490C">
        <w:rPr>
          <w:lang w:bidi="te-IN"/>
        </w:rPr>
        <w:t xml:space="preserve"> Under Review.</w:t>
      </w:r>
    </w:p>
    <w:p w:rsidR="00C33D4C" w:rsidRPr="00D339F4" w:rsidRDefault="00D339F4" w:rsidP="00C33D4C">
      <w:pPr>
        <w:pStyle w:val="NormalNew"/>
        <w:rPr>
          <w:lang w:bidi="te-IN"/>
        </w:rPr>
      </w:pPr>
      <w:r w:rsidRPr="00D339F4">
        <w:rPr>
          <w:lang w:bidi="te-IN"/>
        </w:rPr>
        <w:t>Shi Z., Chen L., Fang N., Qin D. and Cai C. 2009. Research on the SCS-CN initial abstraction ratio using rainfal</w:t>
      </w:r>
      <w:r w:rsidR="0067389A">
        <w:rPr>
          <w:lang w:bidi="te-IN"/>
        </w:rPr>
        <w:t>l-runoff event analysis in the Three Gorges Area, C</w:t>
      </w:r>
      <w:r w:rsidRPr="00D339F4">
        <w:rPr>
          <w:lang w:bidi="te-IN"/>
        </w:rPr>
        <w:t>hina. Catena 77:1-7. doi</w:t>
      </w:r>
      <w:r w:rsidRPr="0067389A">
        <w:rPr>
          <w:lang w:bidi="te-IN"/>
        </w:rPr>
        <w:t xml:space="preserve">: </w:t>
      </w:r>
      <w:r w:rsidR="00C33D4C" w:rsidRPr="009835C2">
        <w:rPr>
          <w:lang w:bidi="te-IN"/>
        </w:rPr>
        <w:t>http://dx.doi.org/10.1016/j.catena.2008.11.006</w:t>
      </w:r>
      <w:r w:rsidRPr="00D339F4">
        <w:rPr>
          <w:lang w:bidi="te-IN"/>
        </w:rPr>
        <w:t>.</w:t>
      </w:r>
    </w:p>
    <w:p w:rsidR="00C33D4C" w:rsidRDefault="00D339F4" w:rsidP="00C33D4C">
      <w:pPr>
        <w:pStyle w:val="NormalNew"/>
        <w:rPr>
          <w:lang w:bidi="te-IN"/>
        </w:rPr>
      </w:pPr>
      <w:r w:rsidRPr="00D339F4">
        <w:rPr>
          <w:lang w:bidi="te-IN"/>
        </w:rPr>
        <w:t>Soil Conservation Service. 1956. National en</w:t>
      </w:r>
      <w:r w:rsidR="0067389A">
        <w:rPr>
          <w:lang w:bidi="te-IN"/>
        </w:rPr>
        <w:t>gineering handbook: Section 4, H</w:t>
      </w:r>
      <w:r w:rsidRPr="00D339F4">
        <w:rPr>
          <w:lang w:bidi="te-IN"/>
        </w:rPr>
        <w:t>ydrology. USDA</w:t>
      </w:r>
      <w:r w:rsidR="00BD1DBE">
        <w:rPr>
          <w:lang w:bidi="te-IN"/>
        </w:rPr>
        <w:t xml:space="preserve"> SCS</w:t>
      </w:r>
      <w:r w:rsidRPr="00D339F4">
        <w:rPr>
          <w:lang w:bidi="te-IN"/>
        </w:rPr>
        <w:t>, Washington, D.C.</w:t>
      </w:r>
    </w:p>
    <w:p w:rsidR="00EA210F" w:rsidRDefault="00EA210F" w:rsidP="00C33D4C">
      <w:pPr>
        <w:pStyle w:val="NormalNew"/>
        <w:rPr>
          <w:lang w:bidi="te-IN"/>
        </w:rPr>
      </w:pPr>
      <w:r>
        <w:rPr>
          <w:lang w:bidi="te-IN"/>
        </w:rPr>
        <w:t>Soil Conservation Service. 1972</w:t>
      </w:r>
      <w:r w:rsidRPr="00DE6223">
        <w:rPr>
          <w:lang w:bidi="te-IN"/>
        </w:rPr>
        <w:t xml:space="preserve">. National engineering handbook: Section 4, Hydrology. </w:t>
      </w:r>
      <w:r>
        <w:rPr>
          <w:lang w:bidi="te-IN"/>
        </w:rPr>
        <w:t>Chapter 10.</w:t>
      </w:r>
      <w:r w:rsidR="00BD1DBE">
        <w:rPr>
          <w:lang w:bidi="te-IN"/>
        </w:rPr>
        <w:t xml:space="preserve"> USDA</w:t>
      </w:r>
      <w:r>
        <w:rPr>
          <w:lang w:bidi="te-IN"/>
        </w:rPr>
        <w:t xml:space="preserve"> SCS</w:t>
      </w:r>
      <w:r w:rsidRPr="00DE6223">
        <w:rPr>
          <w:lang w:bidi="te-IN"/>
        </w:rPr>
        <w:t>, Washington, D.C.</w:t>
      </w:r>
    </w:p>
    <w:p w:rsidR="00B57D58" w:rsidRPr="00D339F4" w:rsidRDefault="00B57D58" w:rsidP="00C33D4C">
      <w:pPr>
        <w:pStyle w:val="NormalNew"/>
        <w:rPr>
          <w:lang w:bidi="te-IN"/>
        </w:rPr>
      </w:pPr>
      <w:r w:rsidRPr="00B57D58">
        <w:rPr>
          <w:lang w:bidi="te-IN"/>
        </w:rPr>
        <w:t>Soulis K.X., Valiantzas J.D., Dercas N. and Londra P.A. 2009. Investigation of the direct runoff generation mechanism for the analysis of the SCS-CN method applicability to a partial area experimental watershed. Hydrol. Earth Syst. Sci. 13:605-615. doi: 10.5194/hess-13-605-2009.</w:t>
      </w:r>
    </w:p>
    <w:p w:rsidR="00C33D4C" w:rsidRPr="00D339F4" w:rsidRDefault="00D339F4" w:rsidP="00C33D4C">
      <w:pPr>
        <w:pStyle w:val="NormalNew"/>
        <w:rPr>
          <w:lang w:bidi="te-IN"/>
        </w:rPr>
      </w:pPr>
      <w:r w:rsidRPr="00D339F4">
        <w:rPr>
          <w:lang w:bidi="te-IN"/>
        </w:rPr>
        <w:t>Soulis K.X. and Valiantzas J.D. 2012. SCS-CN parameter determination using rainfall-runoff data in heterogeneous watersheds - the two-CN system approach. Hydrol. Earth Syst. Sci. 16:1001-1015. doi: 10.5194/hess-16-1001-2012.</w:t>
      </w:r>
    </w:p>
    <w:p w:rsidR="00C33D4C" w:rsidRPr="00D339F4" w:rsidRDefault="00D339F4" w:rsidP="00C33D4C">
      <w:pPr>
        <w:pStyle w:val="NormalNew"/>
        <w:rPr>
          <w:lang w:bidi="te-IN"/>
        </w:rPr>
      </w:pPr>
      <w:r w:rsidRPr="00D339F4">
        <w:rPr>
          <w:lang w:bidi="te-IN"/>
        </w:rPr>
        <w:t>Soulis K.X. and Valiantzas J.D. 2013. Identification of the SCS-CN parameter spatial distribution using rainfall-runoff data in heterogeneous watersheds. Water Resour. Manage. 27:1737-1749. doi: 10.1007/s11269-012-0082-5.</w:t>
      </w:r>
    </w:p>
    <w:p w:rsidR="00C33D4C" w:rsidRDefault="00D339F4" w:rsidP="00C33D4C">
      <w:pPr>
        <w:pStyle w:val="NormalNew"/>
        <w:rPr>
          <w:lang w:bidi="te-IN"/>
        </w:rPr>
      </w:pPr>
      <w:r w:rsidRPr="00D339F4">
        <w:rPr>
          <w:lang w:bidi="te-IN"/>
        </w:rPr>
        <w:t>USDA. 1986. Urban hydrology for small watersheds. TR-55. USDA-NRCS, Washington, DC.</w:t>
      </w:r>
    </w:p>
    <w:p w:rsidR="00BD1DBE" w:rsidRPr="00D339F4" w:rsidRDefault="00BD1DBE" w:rsidP="00C33D4C">
      <w:pPr>
        <w:pStyle w:val="NormalNew"/>
        <w:rPr>
          <w:lang w:bidi="te-IN"/>
        </w:rPr>
      </w:pPr>
      <w:r w:rsidRPr="00BD1DBE">
        <w:rPr>
          <w:lang w:bidi="te-IN"/>
        </w:rPr>
        <w:t xml:space="preserve">Van Mullem, J. A. 1997. Precipitation variability and curve numbers. </w:t>
      </w:r>
      <w:r w:rsidRPr="00BD1DBE">
        <w:rPr>
          <w:i/>
          <w:lang w:bidi="te-IN"/>
        </w:rPr>
        <w:t>In</w:t>
      </w:r>
      <w:r w:rsidRPr="00BD1DBE">
        <w:rPr>
          <w:lang w:bidi="te-IN"/>
        </w:rPr>
        <w:t xml:space="preserve"> Managing Water: Coping with Scarcity and Abundance. Proceedings of the 27th Congress of the International Association of Hydraulic Research, San Francisco, CA. August 1997. 518-523. Published by American Society of Civil Engineers, New York.</w:t>
      </w:r>
    </w:p>
    <w:p w:rsidR="00C33D4C" w:rsidRPr="00D339F4" w:rsidRDefault="00D339F4" w:rsidP="00C33D4C">
      <w:pPr>
        <w:pStyle w:val="NormalNew"/>
        <w:rPr>
          <w:lang w:bidi="te-IN"/>
        </w:rPr>
      </w:pPr>
      <w:r w:rsidRPr="00D339F4">
        <w:rPr>
          <w:lang w:bidi="te-IN"/>
        </w:rPr>
        <w:t>Wang X., Williams J.R., Gassman P.W., Baffaut C., Izaurralde R.C., Jeong J. and Kiniry J.R. 2012. EPIC and APEX: Model use, calibration, and validation. Trans. ASABE 55:1447-1462.</w:t>
      </w:r>
    </w:p>
    <w:p w:rsidR="00C33D4C" w:rsidRPr="00D339F4" w:rsidRDefault="00D339F4" w:rsidP="00C33D4C">
      <w:pPr>
        <w:pStyle w:val="NormalNew"/>
        <w:rPr>
          <w:lang w:bidi="te-IN"/>
        </w:rPr>
      </w:pPr>
      <w:r w:rsidRPr="00D339F4">
        <w:rPr>
          <w:lang w:bidi="te-IN"/>
        </w:rPr>
        <w:lastRenderedPageBreak/>
        <w:t xml:space="preserve">Woodward D.E., Hawkins </w:t>
      </w:r>
      <w:r w:rsidR="0067389A">
        <w:rPr>
          <w:lang w:bidi="te-IN"/>
        </w:rPr>
        <w:t>R.H. and Quan Q.D. 2002. Curve N</w:t>
      </w:r>
      <w:r w:rsidRPr="00D339F4">
        <w:rPr>
          <w:lang w:bidi="te-IN"/>
        </w:rPr>
        <w:t xml:space="preserve">umber method: Origins, applications and limitations. </w:t>
      </w:r>
      <w:r w:rsidRPr="00D339F4">
        <w:rPr>
          <w:i/>
          <w:iCs/>
          <w:lang w:bidi="te-IN"/>
        </w:rPr>
        <w:t xml:space="preserve">In </w:t>
      </w:r>
      <w:r w:rsidRPr="00D339F4">
        <w:rPr>
          <w:lang w:bidi="te-IN"/>
        </w:rPr>
        <w:t>Hydrologic modeling for the 21st century: 2nd federal interagency hydrologic modeling conference, Las Vegas, N</w:t>
      </w:r>
      <w:r w:rsidR="0067389A">
        <w:rPr>
          <w:lang w:bidi="te-IN"/>
        </w:rPr>
        <w:t>evada. July 28 – August 1, 2002</w:t>
      </w:r>
      <w:r w:rsidRPr="00D339F4">
        <w:rPr>
          <w:lang w:bidi="te-IN"/>
        </w:rPr>
        <w:t>.</w:t>
      </w:r>
    </w:p>
    <w:p w:rsidR="00E237E4" w:rsidRPr="00E237E4" w:rsidRDefault="00D339F4" w:rsidP="00371824">
      <w:pPr>
        <w:pStyle w:val="NormalNew"/>
        <w:rPr>
          <w:lang w:bidi="te-IN"/>
        </w:rPr>
      </w:pPr>
      <w:r w:rsidRPr="00D339F4">
        <w:rPr>
          <w:lang w:bidi="te-IN"/>
        </w:rPr>
        <w:t>Woodward D., Hawkins R., Jiang R., Hjelmfelt J</w:t>
      </w:r>
      <w:r w:rsidR="002B39AE">
        <w:rPr>
          <w:lang w:bidi="te-IN"/>
        </w:rPr>
        <w:t>r</w:t>
      </w:r>
      <w:r w:rsidRPr="00D339F4">
        <w:rPr>
          <w:lang w:bidi="te-IN"/>
        </w:rPr>
        <w:t xml:space="preserve">. A., Van Mullem J. and Quan Q. 2003. Runoff curve number method: Examination of the initial abstraction ratio. p. 1-10. </w:t>
      </w:r>
      <w:r w:rsidRPr="00D339F4">
        <w:rPr>
          <w:i/>
          <w:iCs/>
          <w:lang w:bidi="te-IN"/>
        </w:rPr>
        <w:t xml:space="preserve">In </w:t>
      </w:r>
      <w:r w:rsidRPr="00D339F4">
        <w:rPr>
          <w:lang w:bidi="te-IN"/>
        </w:rPr>
        <w:t>World water &amp; environmental resources congress, Philadelphia, Pennsylvania, United States. June 23-26, 2003 Ameri</w:t>
      </w:r>
      <w:r w:rsidR="0067389A">
        <w:rPr>
          <w:lang w:bidi="te-IN"/>
        </w:rPr>
        <w:t>can Society of Civil Engineers</w:t>
      </w:r>
      <w:r w:rsidRPr="00D339F4">
        <w:rPr>
          <w:lang w:bidi="te-IN"/>
        </w:rPr>
        <w:t>.</w:t>
      </w:r>
    </w:p>
    <w:sectPr w:rsidR="00E237E4" w:rsidRPr="00E237E4" w:rsidSect="00587EFA">
      <w:headerReference w:type="even" r:id="rId73"/>
      <w:headerReference w:type="default" r:id="rId74"/>
      <w:footerReference w:type="even" r:id="rId75"/>
      <w:footerReference w:type="default" r:id="rId76"/>
      <w:headerReference w:type="first" r:id="rId77"/>
      <w:footerReference w:type="first" r:id="rId78"/>
      <w:pgSz w:w="11907" w:h="13608" w:code="1"/>
      <w:pgMar w:top="567" w:right="936" w:bottom="1338" w:left="936" w:header="0" w:footer="567" w:gutter="0"/>
      <w:lnNumType w:countBy="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11D" w:rsidRDefault="00CB311D">
      <w:r>
        <w:separator/>
      </w:r>
    </w:p>
  </w:endnote>
  <w:endnote w:type="continuationSeparator" w:id="0">
    <w:p w:rsidR="00CB311D" w:rsidRDefault="00CB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Pr="003E7194" w:rsidRDefault="00FD13F3" w:rsidP="00D339F4">
    <w:pPr>
      <w:pStyle w:val="Footer"/>
      <w:framePr w:wrap="around" w:vAnchor="text" w:hAnchor="margin" w:xAlign="center" w:y="1"/>
      <w:rPr>
        <w:rStyle w:val="PageNumber"/>
        <w:szCs w:val="20"/>
      </w:rPr>
    </w:pPr>
    <w:r w:rsidRPr="003E7194">
      <w:rPr>
        <w:rStyle w:val="PageNumber"/>
        <w:szCs w:val="20"/>
      </w:rPr>
      <w:fldChar w:fldCharType="begin"/>
    </w:r>
    <w:r w:rsidRPr="003E7194">
      <w:rPr>
        <w:rStyle w:val="PageNumber"/>
        <w:szCs w:val="20"/>
      </w:rPr>
      <w:instrText xml:space="preserve">PAGE  </w:instrText>
    </w:r>
    <w:r w:rsidRPr="003E7194">
      <w:rPr>
        <w:rStyle w:val="PageNumber"/>
        <w:szCs w:val="20"/>
      </w:rPr>
      <w:fldChar w:fldCharType="separate"/>
    </w:r>
    <w:r w:rsidR="002928FC">
      <w:rPr>
        <w:rStyle w:val="PageNumber"/>
        <w:noProof/>
        <w:szCs w:val="20"/>
      </w:rPr>
      <w:t>16</w:t>
    </w:r>
    <w:r w:rsidRPr="003E7194">
      <w:rPr>
        <w:rStyle w:val="PageNumber"/>
        <w:szCs w:val="20"/>
      </w:rPr>
      <w:fldChar w:fldCharType="end"/>
    </w:r>
  </w:p>
  <w:p w:rsidR="00FD13F3" w:rsidRDefault="00FD1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rsidP="00D339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8FC">
      <w:rPr>
        <w:rStyle w:val="PageNumber"/>
        <w:noProof/>
      </w:rPr>
      <w:t>26</w:t>
    </w:r>
    <w:r>
      <w:rPr>
        <w:rStyle w:val="PageNumber"/>
      </w:rPr>
      <w:fldChar w:fldCharType="end"/>
    </w:r>
  </w:p>
  <w:p w:rsidR="00FD13F3" w:rsidRDefault="00FD13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02608"/>
      <w:docPartObj>
        <w:docPartGallery w:val="Page Numbers (Bottom of Page)"/>
        <w:docPartUnique/>
      </w:docPartObj>
    </w:sdtPr>
    <w:sdtEndPr>
      <w:rPr>
        <w:noProof/>
      </w:rPr>
    </w:sdtEndPr>
    <w:sdtContent>
      <w:p w:rsidR="00FD13F3" w:rsidRDefault="00FD13F3">
        <w:pPr>
          <w:pStyle w:val="Footer"/>
          <w:jc w:val="center"/>
        </w:pPr>
        <w:r w:rsidRPr="007174A8">
          <w:rPr>
            <w:sz w:val="20"/>
            <w:szCs w:val="20"/>
          </w:rPr>
          <w:fldChar w:fldCharType="begin"/>
        </w:r>
        <w:r w:rsidRPr="007174A8">
          <w:rPr>
            <w:sz w:val="20"/>
            <w:szCs w:val="20"/>
          </w:rPr>
          <w:instrText xml:space="preserve"> PAGE   \* MERGEFORMAT </w:instrText>
        </w:r>
        <w:r w:rsidRPr="007174A8">
          <w:rPr>
            <w:sz w:val="20"/>
            <w:szCs w:val="20"/>
          </w:rPr>
          <w:fldChar w:fldCharType="separate"/>
        </w:r>
        <w:r w:rsidR="002928FC">
          <w:rPr>
            <w:noProof/>
            <w:sz w:val="20"/>
            <w:szCs w:val="20"/>
          </w:rPr>
          <w:t>37</w:t>
        </w:r>
        <w:r w:rsidRPr="007174A8">
          <w:rPr>
            <w:noProof/>
            <w:sz w:val="20"/>
            <w:szCs w:val="20"/>
          </w:rPr>
          <w:fldChar w:fldCharType="end"/>
        </w:r>
      </w:p>
    </w:sdtContent>
  </w:sdt>
  <w:p w:rsidR="00FD13F3" w:rsidRDefault="00FD13F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11D" w:rsidRDefault="00CB311D">
      <w:r>
        <w:separator/>
      </w:r>
    </w:p>
  </w:footnote>
  <w:footnote w:type="continuationSeparator" w:id="0">
    <w:p w:rsidR="00CB311D" w:rsidRDefault="00CB3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991107"/>
      <w:docPartObj>
        <w:docPartGallery w:val="Page Numbers (Margins)"/>
        <w:docPartUnique/>
      </w:docPartObj>
    </w:sdtPr>
    <w:sdtEndPr/>
    <w:sdtContent>
      <w:p w:rsidR="00FD13F3" w:rsidRDefault="00FD13F3">
        <w:pPr>
          <w:pStyle w:val="Header"/>
        </w:pPr>
        <w:r>
          <w:rPr>
            <w:noProof/>
          </w:rPr>
          <mc:AlternateContent>
            <mc:Choice Requires="wps">
              <w:drawing>
                <wp:anchor distT="0" distB="0" distL="114300" distR="114300" simplePos="0" relativeHeight="251671552" behindDoc="0" locked="0" layoutInCell="0" allowOverlap="1">
                  <wp:simplePos x="0" y="0"/>
                  <wp:positionH relativeFrom="leftMargin">
                    <wp:align>left</wp:align>
                  </wp:positionH>
                  <wp:positionV relativeFrom="margin">
                    <wp:align>center</wp:align>
                  </wp:positionV>
                  <wp:extent cx="727710" cy="329565"/>
                  <wp:effectExtent l="0" t="0" r="0" b="381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13F3" w:rsidRDefault="00FD13F3" w:rsidP="00AC205F">
                              <w:pPr>
                                <w:jc w:val="right"/>
                              </w:pPr>
                              <w:r>
                                <w:fldChar w:fldCharType="begin"/>
                              </w:r>
                              <w:r>
                                <w:instrText xml:space="preserve"> PAGE   \* MERGEFORMAT </w:instrText>
                              </w:r>
                              <w:r>
                                <w:fldChar w:fldCharType="separate"/>
                              </w:r>
                              <w:r w:rsidR="002928FC">
                                <w:rPr>
                                  <w:noProof/>
                                </w:rPr>
                                <w:t>17</w:t>
                              </w:r>
                              <w:r>
                                <w:rPr>
                                  <w:noProof/>
                                </w:rPr>
                                <w:fldChar w:fldCharType="end"/>
                              </w:r>
                            </w:p>
                          </w:txbxContent>
                        </wps:txbx>
                        <wps:bodyPr rot="0" vert="vert"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62" o:spid="_x0000_s1027" style="position:absolute;margin-left:0;margin-top:0;width:57.3pt;height:25.95pt;z-index:251671552;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" o:allowincell="f" stroked="f">
                  <v:textbox style="layout-flow:vertical">
                    <w:txbxContent>
                      <w:p w:rsidR="00FD13F3" w:rsidRDefault="00FD13F3" w:rsidP="00AC205F">
                        <w:pPr>
                          <w:jc w:val="right"/>
                        </w:pPr>
                        <w:r>
                          <w:fldChar w:fldCharType="begin"/>
                        </w:r>
                        <w:r>
                          <w:instrText xml:space="preserve"> PAGE   \* MERGEFORMAT </w:instrText>
                        </w:r>
                        <w:r>
                          <w:fldChar w:fldCharType="separate"/>
                        </w:r>
                        <w:r w:rsidR="002928FC">
                          <w:rPr>
                            <w:noProof/>
                          </w:rPr>
                          <w:t>17</w:t>
                        </w:r>
                        <w:r>
                          <w:rPr>
                            <w:noProof/>
                          </w:rPr>
                          <w:fldChar w:fldCharType="end"/>
                        </w:r>
                      </w:p>
                    </w:txbxContent>
                  </v:textbox>
                  <w10:wrap anchorx="margin" anchory="margin"/>
                </v:rect>
              </w:pict>
            </mc:Fallback>
          </mc:AlternateConten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335706"/>
      <w:docPartObj>
        <w:docPartGallery w:val="Page Numbers (Margins)"/>
        <w:docPartUnique/>
      </w:docPartObj>
    </w:sdtPr>
    <w:sdtEndPr/>
    <w:sdtContent>
      <w:p w:rsidR="00FD13F3" w:rsidRDefault="00FD13F3">
        <w:pPr>
          <w:pStyle w:val="Header"/>
        </w:pPr>
        <w:r>
          <w:rPr>
            <w:noProof/>
          </w:rPr>
          <mc:AlternateContent>
            <mc:Choice Requires="wps">
              <w:drawing>
                <wp:anchor distT="0" distB="0" distL="114300" distR="114300" simplePos="0" relativeHeight="251675648" behindDoc="0" locked="0" layoutInCell="0" allowOverlap="1">
                  <wp:simplePos x="0" y="0"/>
                  <wp:positionH relativeFrom="leftMargin">
                    <wp:align>left</wp:align>
                  </wp:positionH>
                  <wp:positionV relativeFrom="margin">
                    <wp:align>center</wp:align>
                  </wp:positionV>
                  <wp:extent cx="727710" cy="329565"/>
                  <wp:effectExtent l="0" t="0" r="0" b="381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13F3" w:rsidRDefault="00FD13F3" w:rsidP="00AC205F">
                              <w:pPr>
                                <w:jc w:val="right"/>
                              </w:pPr>
                              <w:r>
                                <w:fldChar w:fldCharType="begin"/>
                              </w:r>
                              <w:r>
                                <w:instrText xml:space="preserve"> PAGE   \* MERGEFORMAT </w:instrText>
                              </w:r>
                              <w:r>
                                <w:fldChar w:fldCharType="separate"/>
                              </w:r>
                              <w:r w:rsidR="002928FC">
                                <w:rPr>
                                  <w:noProof/>
                                </w:rPr>
                                <w:t>27</w:t>
                              </w:r>
                              <w:r>
                                <w:rPr>
                                  <w:noProof/>
                                </w:rPr>
                                <w:fldChar w:fldCharType="end"/>
                              </w:r>
                            </w:p>
                          </w:txbxContent>
                        </wps:txbx>
                        <wps:bodyPr rot="0" vert="vert"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64" o:spid="_x0000_s1028" style="position:absolute;margin-left:0;margin-top:0;width:57.3pt;height:25.95pt;z-index:25167564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" o:allowincell="f" stroked="f">
                  <v:textbox style="layout-flow:vertical">
                    <w:txbxContent>
                      <w:p w:rsidR="00FD13F3" w:rsidRDefault="00FD13F3" w:rsidP="00AC205F">
                        <w:pPr>
                          <w:jc w:val="right"/>
                        </w:pPr>
                        <w:r>
                          <w:fldChar w:fldCharType="begin"/>
                        </w:r>
                        <w:r>
                          <w:instrText xml:space="preserve"> PAGE   \* MERGEFORMAT </w:instrText>
                        </w:r>
                        <w:r>
                          <w:fldChar w:fldCharType="separate"/>
                        </w:r>
                        <w:r w:rsidR="002928FC">
                          <w:rPr>
                            <w:noProof/>
                          </w:rPr>
                          <w:t>27</w:t>
                        </w:r>
                        <w:r>
                          <w:rPr>
                            <w:noProof/>
                          </w:rPr>
                          <w:fldChar w:fldCharType="end"/>
                        </w:r>
                      </w:p>
                    </w:txbxContent>
                  </v:textbox>
                  <w10:wrap anchorx="margin" anchory="margin"/>
                </v:rect>
              </w:pict>
            </mc:Fallback>
          </mc:AlternateConten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F3" w:rsidRDefault="00FD1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D445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DC33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3B47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FA60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CD86D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26EE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D638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42E5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98E6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A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8138C"/>
    <w:multiLevelType w:val="hybridMultilevel"/>
    <w:tmpl w:val="CB040738"/>
    <w:lvl w:ilvl="0" w:tplc="2BB07FD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225AD4"/>
    <w:multiLevelType w:val="hybridMultilevel"/>
    <w:tmpl w:val="128E3154"/>
    <w:lvl w:ilvl="0" w:tplc="A802BF6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DE256E"/>
    <w:multiLevelType w:val="hybridMultilevel"/>
    <w:tmpl w:val="5D749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E30177"/>
    <w:multiLevelType w:val="multilevel"/>
    <w:tmpl w:val="9C16988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AA538C"/>
    <w:multiLevelType w:val="hybridMultilevel"/>
    <w:tmpl w:val="E3E0AF5E"/>
    <w:lvl w:ilvl="0" w:tplc="92E86E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430F64"/>
    <w:multiLevelType w:val="hybridMultilevel"/>
    <w:tmpl w:val="CB040738"/>
    <w:lvl w:ilvl="0" w:tplc="2BB07FD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67092C"/>
    <w:multiLevelType w:val="multilevel"/>
    <w:tmpl w:val="0108D3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C8525A"/>
    <w:multiLevelType w:val="hybridMultilevel"/>
    <w:tmpl w:val="2B0CF19A"/>
    <w:lvl w:ilvl="0" w:tplc="B0240006">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5E0FAB"/>
    <w:multiLevelType w:val="hybridMultilevel"/>
    <w:tmpl w:val="A1ACDA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858647D"/>
    <w:multiLevelType w:val="multilevel"/>
    <w:tmpl w:val="AA12E7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BE4883"/>
    <w:multiLevelType w:val="hybridMultilevel"/>
    <w:tmpl w:val="6CA46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D1A09"/>
    <w:multiLevelType w:val="multilevel"/>
    <w:tmpl w:val="09B608D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7A71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0A2505"/>
    <w:multiLevelType w:val="hybridMultilevel"/>
    <w:tmpl w:val="7D4A0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22635"/>
    <w:multiLevelType w:val="hybridMultilevel"/>
    <w:tmpl w:val="F626CB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3C02F2"/>
    <w:multiLevelType w:val="multilevel"/>
    <w:tmpl w:val="7B9EF4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87A2EBA"/>
    <w:multiLevelType w:val="hybridMultilevel"/>
    <w:tmpl w:val="E724060E"/>
    <w:lvl w:ilvl="0" w:tplc="60B6B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9C5AD1"/>
    <w:multiLevelType w:val="hybridMultilevel"/>
    <w:tmpl w:val="BEB259C4"/>
    <w:lvl w:ilvl="0" w:tplc="F5320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827BA2"/>
    <w:multiLevelType w:val="hybridMultilevel"/>
    <w:tmpl w:val="7B6686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AB7C55"/>
    <w:multiLevelType w:val="multilevel"/>
    <w:tmpl w:val="14704A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165153"/>
    <w:multiLevelType w:val="hybridMultilevel"/>
    <w:tmpl w:val="B088EE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B037C3"/>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2" w15:restartNumberingAfterBreak="0">
    <w:nsid w:val="5AA82603"/>
    <w:multiLevelType w:val="hybridMultilevel"/>
    <w:tmpl w:val="CC36C4C8"/>
    <w:lvl w:ilvl="0" w:tplc="0EE4C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7853DB"/>
    <w:multiLevelType w:val="multilevel"/>
    <w:tmpl w:val="8F60FEA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74C633B"/>
    <w:multiLevelType w:val="hybridMultilevel"/>
    <w:tmpl w:val="C244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87121"/>
    <w:multiLevelType w:val="multilevel"/>
    <w:tmpl w:val="876A77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31"/>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8"/>
  </w:num>
  <w:num w:numId="6">
    <w:abstractNumId w:val="15"/>
  </w:num>
  <w:num w:numId="7">
    <w:abstractNumId w:val="22"/>
  </w:num>
  <w:num w:numId="8">
    <w:abstractNumId w:val="33"/>
  </w:num>
  <w:num w:numId="9">
    <w:abstractNumId w:val="16"/>
  </w:num>
  <w:num w:numId="10">
    <w:abstractNumId w:val="21"/>
  </w:num>
  <w:num w:numId="11">
    <w:abstractNumId w:val="19"/>
  </w:num>
  <w:num w:numId="12">
    <w:abstractNumId w:val="27"/>
  </w:num>
  <w:num w:numId="13">
    <w:abstractNumId w:val="25"/>
  </w:num>
  <w:num w:numId="14">
    <w:abstractNumId w:val="30"/>
  </w:num>
  <w:num w:numId="15">
    <w:abstractNumId w:val="24"/>
  </w:num>
  <w:num w:numId="16">
    <w:abstractNumId w:val="29"/>
  </w:num>
  <w:num w:numId="17">
    <w:abstractNumId w:val="13"/>
  </w:num>
  <w:num w:numId="18">
    <w:abstractNumId w:val="35"/>
  </w:num>
  <w:num w:numId="19">
    <w:abstractNumId w:val="12"/>
  </w:num>
  <w:num w:numId="20">
    <w:abstractNumId w:val="14"/>
  </w:num>
  <w:num w:numId="21">
    <w:abstractNumId w:val="17"/>
  </w:num>
  <w:num w:numId="22">
    <w:abstractNumId w:val="11"/>
  </w:num>
  <w:num w:numId="23">
    <w:abstractNumId w:val="28"/>
  </w:num>
  <w:num w:numId="24">
    <w:abstractNumId w:val="20"/>
  </w:num>
  <w:num w:numId="25">
    <w:abstractNumId w:val="34"/>
  </w:num>
  <w:num w:numId="26">
    <w:abstractNumId w:val="32"/>
  </w:num>
  <w:num w:numId="27">
    <w:abstractNumId w:val="1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lickAndTypeStyle w:val="NormalNew"/>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08"/>
    <w:rsid w:val="00005026"/>
    <w:rsid w:val="00010640"/>
    <w:rsid w:val="000134BB"/>
    <w:rsid w:val="000143B0"/>
    <w:rsid w:val="00014A22"/>
    <w:rsid w:val="00023357"/>
    <w:rsid w:val="000243BE"/>
    <w:rsid w:val="00025D6E"/>
    <w:rsid w:val="00034B61"/>
    <w:rsid w:val="000437EF"/>
    <w:rsid w:val="000478C5"/>
    <w:rsid w:val="000505C7"/>
    <w:rsid w:val="0005245E"/>
    <w:rsid w:val="000614C5"/>
    <w:rsid w:val="000671A3"/>
    <w:rsid w:val="00067595"/>
    <w:rsid w:val="000712EF"/>
    <w:rsid w:val="00076A16"/>
    <w:rsid w:val="00076DC7"/>
    <w:rsid w:val="000770F1"/>
    <w:rsid w:val="000878D7"/>
    <w:rsid w:val="000B5F5B"/>
    <w:rsid w:val="000C2AA1"/>
    <w:rsid w:val="000C335F"/>
    <w:rsid w:val="000C4708"/>
    <w:rsid w:val="000C532A"/>
    <w:rsid w:val="000D583D"/>
    <w:rsid w:val="000E17C1"/>
    <w:rsid w:val="000E3BF6"/>
    <w:rsid w:val="000E6939"/>
    <w:rsid w:val="000F0A3B"/>
    <w:rsid w:val="000F46B4"/>
    <w:rsid w:val="0010288D"/>
    <w:rsid w:val="00104EFE"/>
    <w:rsid w:val="00110C9A"/>
    <w:rsid w:val="00112B99"/>
    <w:rsid w:val="00115865"/>
    <w:rsid w:val="00121B67"/>
    <w:rsid w:val="00125140"/>
    <w:rsid w:val="00127F6C"/>
    <w:rsid w:val="00136478"/>
    <w:rsid w:val="00144F16"/>
    <w:rsid w:val="001472A8"/>
    <w:rsid w:val="001515F8"/>
    <w:rsid w:val="00155218"/>
    <w:rsid w:val="00156DA3"/>
    <w:rsid w:val="00164CD1"/>
    <w:rsid w:val="00165159"/>
    <w:rsid w:val="00174431"/>
    <w:rsid w:val="00181C34"/>
    <w:rsid w:val="00181EA9"/>
    <w:rsid w:val="00183750"/>
    <w:rsid w:val="00183A9E"/>
    <w:rsid w:val="001879D3"/>
    <w:rsid w:val="001920D1"/>
    <w:rsid w:val="00192ADF"/>
    <w:rsid w:val="00192FA0"/>
    <w:rsid w:val="00195018"/>
    <w:rsid w:val="00196BCD"/>
    <w:rsid w:val="001A07CA"/>
    <w:rsid w:val="001A0932"/>
    <w:rsid w:val="001A22A4"/>
    <w:rsid w:val="001A41BF"/>
    <w:rsid w:val="001B0A16"/>
    <w:rsid w:val="001B30B2"/>
    <w:rsid w:val="001B3777"/>
    <w:rsid w:val="001B382E"/>
    <w:rsid w:val="001B427D"/>
    <w:rsid w:val="001B48B9"/>
    <w:rsid w:val="001B6AA4"/>
    <w:rsid w:val="001C3CF0"/>
    <w:rsid w:val="001C4515"/>
    <w:rsid w:val="001D53BB"/>
    <w:rsid w:val="001D647A"/>
    <w:rsid w:val="001E1C77"/>
    <w:rsid w:val="001E6CE3"/>
    <w:rsid w:val="001E73DA"/>
    <w:rsid w:val="001F3059"/>
    <w:rsid w:val="001F3CD0"/>
    <w:rsid w:val="001F4131"/>
    <w:rsid w:val="002007E4"/>
    <w:rsid w:val="002069CE"/>
    <w:rsid w:val="00207050"/>
    <w:rsid w:val="002179F9"/>
    <w:rsid w:val="00217B9C"/>
    <w:rsid w:val="00222F02"/>
    <w:rsid w:val="002247B7"/>
    <w:rsid w:val="0022654A"/>
    <w:rsid w:val="00233726"/>
    <w:rsid w:val="0023392A"/>
    <w:rsid w:val="00233A15"/>
    <w:rsid w:val="00234A1E"/>
    <w:rsid w:val="002362E7"/>
    <w:rsid w:val="00243A33"/>
    <w:rsid w:val="002468C9"/>
    <w:rsid w:val="00247B36"/>
    <w:rsid w:val="002532E6"/>
    <w:rsid w:val="00255409"/>
    <w:rsid w:val="002610CB"/>
    <w:rsid w:val="00263FEE"/>
    <w:rsid w:val="002647EA"/>
    <w:rsid w:val="002675BC"/>
    <w:rsid w:val="00267814"/>
    <w:rsid w:val="00280295"/>
    <w:rsid w:val="00281F1A"/>
    <w:rsid w:val="002906EF"/>
    <w:rsid w:val="002923C0"/>
    <w:rsid w:val="002928FC"/>
    <w:rsid w:val="002949C2"/>
    <w:rsid w:val="00297712"/>
    <w:rsid w:val="002A3FF2"/>
    <w:rsid w:val="002A5BB1"/>
    <w:rsid w:val="002A7117"/>
    <w:rsid w:val="002B0946"/>
    <w:rsid w:val="002B39AE"/>
    <w:rsid w:val="002B727B"/>
    <w:rsid w:val="002C26EB"/>
    <w:rsid w:val="002C2A77"/>
    <w:rsid w:val="002C3085"/>
    <w:rsid w:val="002D1E4F"/>
    <w:rsid w:val="002D3F10"/>
    <w:rsid w:val="002D6069"/>
    <w:rsid w:val="002D763C"/>
    <w:rsid w:val="002E13B7"/>
    <w:rsid w:val="002E4738"/>
    <w:rsid w:val="002E526D"/>
    <w:rsid w:val="002F2005"/>
    <w:rsid w:val="002F7AB8"/>
    <w:rsid w:val="00302C63"/>
    <w:rsid w:val="00313D0E"/>
    <w:rsid w:val="0031604D"/>
    <w:rsid w:val="003239C6"/>
    <w:rsid w:val="00325188"/>
    <w:rsid w:val="00331E3F"/>
    <w:rsid w:val="003320CA"/>
    <w:rsid w:val="00336E6B"/>
    <w:rsid w:val="003405D4"/>
    <w:rsid w:val="00341A5E"/>
    <w:rsid w:val="003446B8"/>
    <w:rsid w:val="00345E9D"/>
    <w:rsid w:val="00353793"/>
    <w:rsid w:val="003576D1"/>
    <w:rsid w:val="00365ACA"/>
    <w:rsid w:val="003660F1"/>
    <w:rsid w:val="003715C1"/>
    <w:rsid w:val="00371824"/>
    <w:rsid w:val="00372826"/>
    <w:rsid w:val="00373C75"/>
    <w:rsid w:val="0038113A"/>
    <w:rsid w:val="00381158"/>
    <w:rsid w:val="00391AB7"/>
    <w:rsid w:val="0039238F"/>
    <w:rsid w:val="003923C9"/>
    <w:rsid w:val="0039515F"/>
    <w:rsid w:val="0039655B"/>
    <w:rsid w:val="003A0A8A"/>
    <w:rsid w:val="003A3C09"/>
    <w:rsid w:val="003A5F14"/>
    <w:rsid w:val="003A68B8"/>
    <w:rsid w:val="003A75D8"/>
    <w:rsid w:val="003A7D64"/>
    <w:rsid w:val="003B1FA3"/>
    <w:rsid w:val="003C1002"/>
    <w:rsid w:val="003C2CE5"/>
    <w:rsid w:val="003C5D27"/>
    <w:rsid w:val="003C5E17"/>
    <w:rsid w:val="003C6DD6"/>
    <w:rsid w:val="003D182A"/>
    <w:rsid w:val="003D6EE3"/>
    <w:rsid w:val="003E7194"/>
    <w:rsid w:val="003E7247"/>
    <w:rsid w:val="003F1363"/>
    <w:rsid w:val="003F24D5"/>
    <w:rsid w:val="003F320E"/>
    <w:rsid w:val="00400733"/>
    <w:rsid w:val="00405160"/>
    <w:rsid w:val="00413336"/>
    <w:rsid w:val="0041418F"/>
    <w:rsid w:val="00416493"/>
    <w:rsid w:val="0041657C"/>
    <w:rsid w:val="0042233D"/>
    <w:rsid w:val="0042362B"/>
    <w:rsid w:val="00423B89"/>
    <w:rsid w:val="00423BE3"/>
    <w:rsid w:val="00424733"/>
    <w:rsid w:val="00441415"/>
    <w:rsid w:val="00443B85"/>
    <w:rsid w:val="0044489B"/>
    <w:rsid w:val="00453A2B"/>
    <w:rsid w:val="00453EDA"/>
    <w:rsid w:val="00454CC9"/>
    <w:rsid w:val="004558C1"/>
    <w:rsid w:val="00457B8C"/>
    <w:rsid w:val="00464314"/>
    <w:rsid w:val="0046450C"/>
    <w:rsid w:val="00464763"/>
    <w:rsid w:val="00470EB7"/>
    <w:rsid w:val="00475A90"/>
    <w:rsid w:val="004818FD"/>
    <w:rsid w:val="004849ED"/>
    <w:rsid w:val="00491FA7"/>
    <w:rsid w:val="00493CFA"/>
    <w:rsid w:val="0049402B"/>
    <w:rsid w:val="00494924"/>
    <w:rsid w:val="0049761D"/>
    <w:rsid w:val="004A0DC2"/>
    <w:rsid w:val="004A14A3"/>
    <w:rsid w:val="004A1700"/>
    <w:rsid w:val="004A1BE2"/>
    <w:rsid w:val="004A7133"/>
    <w:rsid w:val="004B1683"/>
    <w:rsid w:val="004B779C"/>
    <w:rsid w:val="004D12AE"/>
    <w:rsid w:val="004D1A29"/>
    <w:rsid w:val="004D286D"/>
    <w:rsid w:val="004D4809"/>
    <w:rsid w:val="004D482D"/>
    <w:rsid w:val="004E761E"/>
    <w:rsid w:val="004E78F6"/>
    <w:rsid w:val="004F00CE"/>
    <w:rsid w:val="004F3150"/>
    <w:rsid w:val="004F4141"/>
    <w:rsid w:val="004F7770"/>
    <w:rsid w:val="00503D8A"/>
    <w:rsid w:val="00514877"/>
    <w:rsid w:val="00515A51"/>
    <w:rsid w:val="00525D1A"/>
    <w:rsid w:val="00534DC4"/>
    <w:rsid w:val="00536C7A"/>
    <w:rsid w:val="00543D3B"/>
    <w:rsid w:val="00544183"/>
    <w:rsid w:val="005447A6"/>
    <w:rsid w:val="00545A03"/>
    <w:rsid w:val="005577C3"/>
    <w:rsid w:val="0056102A"/>
    <w:rsid w:val="00562C93"/>
    <w:rsid w:val="0057401B"/>
    <w:rsid w:val="00577DB4"/>
    <w:rsid w:val="00580CBA"/>
    <w:rsid w:val="00583E9A"/>
    <w:rsid w:val="00584C1C"/>
    <w:rsid w:val="005858D0"/>
    <w:rsid w:val="00587EFA"/>
    <w:rsid w:val="005906F1"/>
    <w:rsid w:val="00593BDE"/>
    <w:rsid w:val="00594211"/>
    <w:rsid w:val="00594BCB"/>
    <w:rsid w:val="005A0453"/>
    <w:rsid w:val="005A200D"/>
    <w:rsid w:val="005A5EDD"/>
    <w:rsid w:val="005A603A"/>
    <w:rsid w:val="005A706A"/>
    <w:rsid w:val="005A7B14"/>
    <w:rsid w:val="005A7F4C"/>
    <w:rsid w:val="005C0235"/>
    <w:rsid w:val="005C03C6"/>
    <w:rsid w:val="005C39EB"/>
    <w:rsid w:val="005C7A20"/>
    <w:rsid w:val="005D4853"/>
    <w:rsid w:val="005D5AAF"/>
    <w:rsid w:val="005E3C4C"/>
    <w:rsid w:val="005E5C8C"/>
    <w:rsid w:val="005E7C81"/>
    <w:rsid w:val="005F0E86"/>
    <w:rsid w:val="005F4E96"/>
    <w:rsid w:val="005F7867"/>
    <w:rsid w:val="00601114"/>
    <w:rsid w:val="00602D67"/>
    <w:rsid w:val="00603AE9"/>
    <w:rsid w:val="00614994"/>
    <w:rsid w:val="0061645E"/>
    <w:rsid w:val="00617F21"/>
    <w:rsid w:val="0062405B"/>
    <w:rsid w:val="00631654"/>
    <w:rsid w:val="0063195D"/>
    <w:rsid w:val="00632C27"/>
    <w:rsid w:val="006414AA"/>
    <w:rsid w:val="00642A4C"/>
    <w:rsid w:val="00647ACE"/>
    <w:rsid w:val="006509D9"/>
    <w:rsid w:val="006629E6"/>
    <w:rsid w:val="00662B4F"/>
    <w:rsid w:val="0066481C"/>
    <w:rsid w:val="006654DB"/>
    <w:rsid w:val="00670F85"/>
    <w:rsid w:val="00672C3E"/>
    <w:rsid w:val="0067389A"/>
    <w:rsid w:val="006773F5"/>
    <w:rsid w:val="00683053"/>
    <w:rsid w:val="00683B9F"/>
    <w:rsid w:val="00684A23"/>
    <w:rsid w:val="006909DA"/>
    <w:rsid w:val="006937E3"/>
    <w:rsid w:val="00697E0B"/>
    <w:rsid w:val="006A1C6E"/>
    <w:rsid w:val="006A7B40"/>
    <w:rsid w:val="006B43CE"/>
    <w:rsid w:val="006C18C0"/>
    <w:rsid w:val="006D1441"/>
    <w:rsid w:val="006D412F"/>
    <w:rsid w:val="006D4164"/>
    <w:rsid w:val="006D4AE7"/>
    <w:rsid w:val="006D5C90"/>
    <w:rsid w:val="006D6BC3"/>
    <w:rsid w:val="006E55BD"/>
    <w:rsid w:val="006E6C4A"/>
    <w:rsid w:val="006E74BD"/>
    <w:rsid w:val="006F7775"/>
    <w:rsid w:val="00704EFB"/>
    <w:rsid w:val="007107D8"/>
    <w:rsid w:val="00711CA4"/>
    <w:rsid w:val="00716872"/>
    <w:rsid w:val="007174A8"/>
    <w:rsid w:val="00721A7D"/>
    <w:rsid w:val="00724045"/>
    <w:rsid w:val="0072536E"/>
    <w:rsid w:val="0072725D"/>
    <w:rsid w:val="007310A7"/>
    <w:rsid w:val="00732394"/>
    <w:rsid w:val="00734188"/>
    <w:rsid w:val="00735DC5"/>
    <w:rsid w:val="007361C1"/>
    <w:rsid w:val="00741FB8"/>
    <w:rsid w:val="00744637"/>
    <w:rsid w:val="0074490C"/>
    <w:rsid w:val="007476A2"/>
    <w:rsid w:val="00747E2F"/>
    <w:rsid w:val="0075213F"/>
    <w:rsid w:val="007531FD"/>
    <w:rsid w:val="00757AB3"/>
    <w:rsid w:val="00760D49"/>
    <w:rsid w:val="0077563C"/>
    <w:rsid w:val="00781C5D"/>
    <w:rsid w:val="00782BC8"/>
    <w:rsid w:val="00783466"/>
    <w:rsid w:val="00786032"/>
    <w:rsid w:val="007923D0"/>
    <w:rsid w:val="00796E6A"/>
    <w:rsid w:val="007A5673"/>
    <w:rsid w:val="007A6B40"/>
    <w:rsid w:val="007A7430"/>
    <w:rsid w:val="007B1456"/>
    <w:rsid w:val="007B162D"/>
    <w:rsid w:val="007B3D64"/>
    <w:rsid w:val="007B6B37"/>
    <w:rsid w:val="007B7C00"/>
    <w:rsid w:val="007C16D1"/>
    <w:rsid w:val="007C21D1"/>
    <w:rsid w:val="007C22F9"/>
    <w:rsid w:val="007C3A0C"/>
    <w:rsid w:val="007C51DD"/>
    <w:rsid w:val="007D79C6"/>
    <w:rsid w:val="007E07C2"/>
    <w:rsid w:val="007E222F"/>
    <w:rsid w:val="007E493C"/>
    <w:rsid w:val="007E5E4E"/>
    <w:rsid w:val="007F574B"/>
    <w:rsid w:val="007F7EC3"/>
    <w:rsid w:val="0080380F"/>
    <w:rsid w:val="00804873"/>
    <w:rsid w:val="00810919"/>
    <w:rsid w:val="008120FD"/>
    <w:rsid w:val="00814A3D"/>
    <w:rsid w:val="00817E30"/>
    <w:rsid w:val="00822125"/>
    <w:rsid w:val="008223C4"/>
    <w:rsid w:val="0082479A"/>
    <w:rsid w:val="00833DF5"/>
    <w:rsid w:val="00835E1E"/>
    <w:rsid w:val="00841DA1"/>
    <w:rsid w:val="00843009"/>
    <w:rsid w:val="00844EAD"/>
    <w:rsid w:val="008507DF"/>
    <w:rsid w:val="0085573C"/>
    <w:rsid w:val="0086119C"/>
    <w:rsid w:val="00862091"/>
    <w:rsid w:val="00864E81"/>
    <w:rsid w:val="00865C45"/>
    <w:rsid w:val="00866EDC"/>
    <w:rsid w:val="008718B0"/>
    <w:rsid w:val="00876983"/>
    <w:rsid w:val="00877ABA"/>
    <w:rsid w:val="00887312"/>
    <w:rsid w:val="008903AD"/>
    <w:rsid w:val="008931E4"/>
    <w:rsid w:val="008947C9"/>
    <w:rsid w:val="00897B74"/>
    <w:rsid w:val="008A2D95"/>
    <w:rsid w:val="008B0FF8"/>
    <w:rsid w:val="008B1AEC"/>
    <w:rsid w:val="008B2CC0"/>
    <w:rsid w:val="008C4929"/>
    <w:rsid w:val="008D4AC1"/>
    <w:rsid w:val="008D553B"/>
    <w:rsid w:val="008E179E"/>
    <w:rsid w:val="008E3708"/>
    <w:rsid w:val="008E3ADE"/>
    <w:rsid w:val="008E465B"/>
    <w:rsid w:val="008E474C"/>
    <w:rsid w:val="008E48F6"/>
    <w:rsid w:val="008E72E0"/>
    <w:rsid w:val="008F1EF0"/>
    <w:rsid w:val="008F2F66"/>
    <w:rsid w:val="008F347A"/>
    <w:rsid w:val="008F54C0"/>
    <w:rsid w:val="008F6CE7"/>
    <w:rsid w:val="009029AE"/>
    <w:rsid w:val="00906B67"/>
    <w:rsid w:val="009073B1"/>
    <w:rsid w:val="00907CE8"/>
    <w:rsid w:val="00921C13"/>
    <w:rsid w:val="00922958"/>
    <w:rsid w:val="009266B2"/>
    <w:rsid w:val="00933D69"/>
    <w:rsid w:val="00935C57"/>
    <w:rsid w:val="00937CB5"/>
    <w:rsid w:val="0094274D"/>
    <w:rsid w:val="009428D8"/>
    <w:rsid w:val="009437F8"/>
    <w:rsid w:val="00943E05"/>
    <w:rsid w:val="0094443F"/>
    <w:rsid w:val="00950A19"/>
    <w:rsid w:val="00953D7E"/>
    <w:rsid w:val="00954AA5"/>
    <w:rsid w:val="00956664"/>
    <w:rsid w:val="009603AF"/>
    <w:rsid w:val="009607F2"/>
    <w:rsid w:val="00960F62"/>
    <w:rsid w:val="00962577"/>
    <w:rsid w:val="00964727"/>
    <w:rsid w:val="00964AD5"/>
    <w:rsid w:val="00966069"/>
    <w:rsid w:val="00971A76"/>
    <w:rsid w:val="00976405"/>
    <w:rsid w:val="009835C2"/>
    <w:rsid w:val="00983C7A"/>
    <w:rsid w:val="009852D9"/>
    <w:rsid w:val="009952ED"/>
    <w:rsid w:val="009A1967"/>
    <w:rsid w:val="009A39FE"/>
    <w:rsid w:val="009A6F79"/>
    <w:rsid w:val="009B0121"/>
    <w:rsid w:val="009B40E9"/>
    <w:rsid w:val="009C09A9"/>
    <w:rsid w:val="009D6269"/>
    <w:rsid w:val="009E46B8"/>
    <w:rsid w:val="009E755F"/>
    <w:rsid w:val="009F39C0"/>
    <w:rsid w:val="009F4848"/>
    <w:rsid w:val="009F6569"/>
    <w:rsid w:val="00A05718"/>
    <w:rsid w:val="00A05E61"/>
    <w:rsid w:val="00A06CFF"/>
    <w:rsid w:val="00A14987"/>
    <w:rsid w:val="00A14BB9"/>
    <w:rsid w:val="00A157A0"/>
    <w:rsid w:val="00A1712C"/>
    <w:rsid w:val="00A24E53"/>
    <w:rsid w:val="00A25B00"/>
    <w:rsid w:val="00A31B14"/>
    <w:rsid w:val="00A35700"/>
    <w:rsid w:val="00A37C57"/>
    <w:rsid w:val="00A42CF7"/>
    <w:rsid w:val="00A47B7A"/>
    <w:rsid w:val="00A534CF"/>
    <w:rsid w:val="00A57E9E"/>
    <w:rsid w:val="00A60E73"/>
    <w:rsid w:val="00A60F1D"/>
    <w:rsid w:val="00A6734C"/>
    <w:rsid w:val="00A6751C"/>
    <w:rsid w:val="00A70833"/>
    <w:rsid w:val="00A7147D"/>
    <w:rsid w:val="00A7199E"/>
    <w:rsid w:val="00A75290"/>
    <w:rsid w:val="00A76AB1"/>
    <w:rsid w:val="00A82001"/>
    <w:rsid w:val="00A8394F"/>
    <w:rsid w:val="00A92917"/>
    <w:rsid w:val="00AA041B"/>
    <w:rsid w:val="00AA37A8"/>
    <w:rsid w:val="00AB16F4"/>
    <w:rsid w:val="00AB1AEC"/>
    <w:rsid w:val="00AB5A82"/>
    <w:rsid w:val="00AC1272"/>
    <w:rsid w:val="00AC205F"/>
    <w:rsid w:val="00AC3849"/>
    <w:rsid w:val="00AC4823"/>
    <w:rsid w:val="00AC4DB3"/>
    <w:rsid w:val="00AC516D"/>
    <w:rsid w:val="00AC6097"/>
    <w:rsid w:val="00AD3A97"/>
    <w:rsid w:val="00AD7304"/>
    <w:rsid w:val="00AD7AFB"/>
    <w:rsid w:val="00AD7E78"/>
    <w:rsid w:val="00AE385D"/>
    <w:rsid w:val="00AE4367"/>
    <w:rsid w:val="00AE71FB"/>
    <w:rsid w:val="00AF001E"/>
    <w:rsid w:val="00AF1144"/>
    <w:rsid w:val="00AF4523"/>
    <w:rsid w:val="00AF4798"/>
    <w:rsid w:val="00B02297"/>
    <w:rsid w:val="00B02E16"/>
    <w:rsid w:val="00B050B6"/>
    <w:rsid w:val="00B05479"/>
    <w:rsid w:val="00B06CF6"/>
    <w:rsid w:val="00B10E7D"/>
    <w:rsid w:val="00B13DF3"/>
    <w:rsid w:val="00B21BDF"/>
    <w:rsid w:val="00B2667C"/>
    <w:rsid w:val="00B30C31"/>
    <w:rsid w:val="00B32466"/>
    <w:rsid w:val="00B469C0"/>
    <w:rsid w:val="00B506F0"/>
    <w:rsid w:val="00B50FDA"/>
    <w:rsid w:val="00B54F7B"/>
    <w:rsid w:val="00B57D58"/>
    <w:rsid w:val="00B615A2"/>
    <w:rsid w:val="00B6179B"/>
    <w:rsid w:val="00B61FCD"/>
    <w:rsid w:val="00B64121"/>
    <w:rsid w:val="00B641F1"/>
    <w:rsid w:val="00B645C5"/>
    <w:rsid w:val="00B6534A"/>
    <w:rsid w:val="00B741AB"/>
    <w:rsid w:val="00B74BBF"/>
    <w:rsid w:val="00B755DB"/>
    <w:rsid w:val="00B83064"/>
    <w:rsid w:val="00B832E2"/>
    <w:rsid w:val="00B864DC"/>
    <w:rsid w:val="00BA4373"/>
    <w:rsid w:val="00BA4BA5"/>
    <w:rsid w:val="00BB1128"/>
    <w:rsid w:val="00BB1E19"/>
    <w:rsid w:val="00BB55EF"/>
    <w:rsid w:val="00BB672A"/>
    <w:rsid w:val="00BC4F38"/>
    <w:rsid w:val="00BC52C2"/>
    <w:rsid w:val="00BC7C58"/>
    <w:rsid w:val="00BD1DBE"/>
    <w:rsid w:val="00BD4A83"/>
    <w:rsid w:val="00BE5186"/>
    <w:rsid w:val="00BF1D61"/>
    <w:rsid w:val="00C037C6"/>
    <w:rsid w:val="00C05071"/>
    <w:rsid w:val="00C068F9"/>
    <w:rsid w:val="00C06C57"/>
    <w:rsid w:val="00C10866"/>
    <w:rsid w:val="00C10B93"/>
    <w:rsid w:val="00C1295F"/>
    <w:rsid w:val="00C14092"/>
    <w:rsid w:val="00C173A2"/>
    <w:rsid w:val="00C2011A"/>
    <w:rsid w:val="00C23FD6"/>
    <w:rsid w:val="00C24BA2"/>
    <w:rsid w:val="00C25135"/>
    <w:rsid w:val="00C33BE7"/>
    <w:rsid w:val="00C33D4C"/>
    <w:rsid w:val="00C361A1"/>
    <w:rsid w:val="00C4156F"/>
    <w:rsid w:val="00C45C76"/>
    <w:rsid w:val="00C504F0"/>
    <w:rsid w:val="00C51F58"/>
    <w:rsid w:val="00C52F4D"/>
    <w:rsid w:val="00C55087"/>
    <w:rsid w:val="00C56FDC"/>
    <w:rsid w:val="00C608C5"/>
    <w:rsid w:val="00C6711E"/>
    <w:rsid w:val="00C7084C"/>
    <w:rsid w:val="00C7374F"/>
    <w:rsid w:val="00C74C5E"/>
    <w:rsid w:val="00C74C7B"/>
    <w:rsid w:val="00C760E0"/>
    <w:rsid w:val="00C8058F"/>
    <w:rsid w:val="00C81A9F"/>
    <w:rsid w:val="00CA0647"/>
    <w:rsid w:val="00CA44C2"/>
    <w:rsid w:val="00CB311D"/>
    <w:rsid w:val="00CB5A31"/>
    <w:rsid w:val="00CB72D8"/>
    <w:rsid w:val="00CC5225"/>
    <w:rsid w:val="00CC594C"/>
    <w:rsid w:val="00CC704F"/>
    <w:rsid w:val="00CD0A76"/>
    <w:rsid w:val="00CD10FF"/>
    <w:rsid w:val="00CD42B7"/>
    <w:rsid w:val="00CD569C"/>
    <w:rsid w:val="00CE0698"/>
    <w:rsid w:val="00CE654B"/>
    <w:rsid w:val="00CF1CC5"/>
    <w:rsid w:val="00CF50C8"/>
    <w:rsid w:val="00CF518F"/>
    <w:rsid w:val="00D0108D"/>
    <w:rsid w:val="00D04470"/>
    <w:rsid w:val="00D04C60"/>
    <w:rsid w:val="00D10841"/>
    <w:rsid w:val="00D132C8"/>
    <w:rsid w:val="00D146DB"/>
    <w:rsid w:val="00D164B0"/>
    <w:rsid w:val="00D23620"/>
    <w:rsid w:val="00D339F4"/>
    <w:rsid w:val="00D41B0A"/>
    <w:rsid w:val="00D46557"/>
    <w:rsid w:val="00D47562"/>
    <w:rsid w:val="00D5447C"/>
    <w:rsid w:val="00D56FB5"/>
    <w:rsid w:val="00D5722B"/>
    <w:rsid w:val="00D61C3D"/>
    <w:rsid w:val="00D61EA3"/>
    <w:rsid w:val="00D629E0"/>
    <w:rsid w:val="00D64C0F"/>
    <w:rsid w:val="00D66988"/>
    <w:rsid w:val="00D67B54"/>
    <w:rsid w:val="00D715D7"/>
    <w:rsid w:val="00D72EB2"/>
    <w:rsid w:val="00D7410A"/>
    <w:rsid w:val="00D7518E"/>
    <w:rsid w:val="00D75B53"/>
    <w:rsid w:val="00D81C75"/>
    <w:rsid w:val="00D91D7E"/>
    <w:rsid w:val="00D94C12"/>
    <w:rsid w:val="00D95546"/>
    <w:rsid w:val="00D96293"/>
    <w:rsid w:val="00D96BBA"/>
    <w:rsid w:val="00DA0C06"/>
    <w:rsid w:val="00DB0D36"/>
    <w:rsid w:val="00DB1B47"/>
    <w:rsid w:val="00DB2DB4"/>
    <w:rsid w:val="00DB2F9E"/>
    <w:rsid w:val="00DB618B"/>
    <w:rsid w:val="00DB7BC5"/>
    <w:rsid w:val="00DC286E"/>
    <w:rsid w:val="00DC60F7"/>
    <w:rsid w:val="00DD6CF0"/>
    <w:rsid w:val="00DE1137"/>
    <w:rsid w:val="00DE6A6D"/>
    <w:rsid w:val="00DF3310"/>
    <w:rsid w:val="00DF477B"/>
    <w:rsid w:val="00DF538F"/>
    <w:rsid w:val="00DF5CD4"/>
    <w:rsid w:val="00E0503A"/>
    <w:rsid w:val="00E10C5E"/>
    <w:rsid w:val="00E11E8C"/>
    <w:rsid w:val="00E122B4"/>
    <w:rsid w:val="00E12B7E"/>
    <w:rsid w:val="00E13EF3"/>
    <w:rsid w:val="00E179C4"/>
    <w:rsid w:val="00E17E19"/>
    <w:rsid w:val="00E237E4"/>
    <w:rsid w:val="00E261D9"/>
    <w:rsid w:val="00E31DBD"/>
    <w:rsid w:val="00E41D77"/>
    <w:rsid w:val="00E42810"/>
    <w:rsid w:val="00E51B81"/>
    <w:rsid w:val="00E52A56"/>
    <w:rsid w:val="00E55E2E"/>
    <w:rsid w:val="00E643C4"/>
    <w:rsid w:val="00E71E80"/>
    <w:rsid w:val="00E75EDA"/>
    <w:rsid w:val="00E777EF"/>
    <w:rsid w:val="00E81A18"/>
    <w:rsid w:val="00E834C9"/>
    <w:rsid w:val="00E83A00"/>
    <w:rsid w:val="00E86612"/>
    <w:rsid w:val="00E91B64"/>
    <w:rsid w:val="00EA05ED"/>
    <w:rsid w:val="00EA210F"/>
    <w:rsid w:val="00EA242B"/>
    <w:rsid w:val="00EA25B3"/>
    <w:rsid w:val="00EA3686"/>
    <w:rsid w:val="00EA4554"/>
    <w:rsid w:val="00EA622F"/>
    <w:rsid w:val="00EB1F66"/>
    <w:rsid w:val="00EB26E0"/>
    <w:rsid w:val="00EB49C8"/>
    <w:rsid w:val="00EB5704"/>
    <w:rsid w:val="00EB721D"/>
    <w:rsid w:val="00EC1B25"/>
    <w:rsid w:val="00EC2498"/>
    <w:rsid w:val="00EC73E5"/>
    <w:rsid w:val="00ED59E5"/>
    <w:rsid w:val="00EE10DB"/>
    <w:rsid w:val="00EE32D3"/>
    <w:rsid w:val="00EE3834"/>
    <w:rsid w:val="00EE4D61"/>
    <w:rsid w:val="00EE5233"/>
    <w:rsid w:val="00EF21FC"/>
    <w:rsid w:val="00EF4A25"/>
    <w:rsid w:val="00F01BFD"/>
    <w:rsid w:val="00F023B8"/>
    <w:rsid w:val="00F02773"/>
    <w:rsid w:val="00F03501"/>
    <w:rsid w:val="00F052FA"/>
    <w:rsid w:val="00F0595D"/>
    <w:rsid w:val="00F060CF"/>
    <w:rsid w:val="00F1538C"/>
    <w:rsid w:val="00F16861"/>
    <w:rsid w:val="00F17551"/>
    <w:rsid w:val="00F17E61"/>
    <w:rsid w:val="00F20184"/>
    <w:rsid w:val="00F22144"/>
    <w:rsid w:val="00F23416"/>
    <w:rsid w:val="00F26208"/>
    <w:rsid w:val="00F26D30"/>
    <w:rsid w:val="00F2724E"/>
    <w:rsid w:val="00F33124"/>
    <w:rsid w:val="00F33E02"/>
    <w:rsid w:val="00F344AB"/>
    <w:rsid w:val="00F349FA"/>
    <w:rsid w:val="00F37E26"/>
    <w:rsid w:val="00F37E64"/>
    <w:rsid w:val="00F434D7"/>
    <w:rsid w:val="00F44960"/>
    <w:rsid w:val="00F44E1D"/>
    <w:rsid w:val="00F4624A"/>
    <w:rsid w:val="00F51124"/>
    <w:rsid w:val="00F56EA5"/>
    <w:rsid w:val="00F5763D"/>
    <w:rsid w:val="00F62325"/>
    <w:rsid w:val="00F66E22"/>
    <w:rsid w:val="00F71CEF"/>
    <w:rsid w:val="00F74FAF"/>
    <w:rsid w:val="00F8622F"/>
    <w:rsid w:val="00F95CEB"/>
    <w:rsid w:val="00FA253E"/>
    <w:rsid w:val="00FA29DA"/>
    <w:rsid w:val="00FB32C3"/>
    <w:rsid w:val="00FC4B39"/>
    <w:rsid w:val="00FC4DFB"/>
    <w:rsid w:val="00FD13F3"/>
    <w:rsid w:val="00FD1A6F"/>
    <w:rsid w:val="00FD4BE6"/>
    <w:rsid w:val="00FD7474"/>
    <w:rsid w:val="00FD7A2C"/>
    <w:rsid w:val="00FE31A2"/>
    <w:rsid w:val="00FE61F7"/>
    <w:rsid w:val="00FE65FA"/>
    <w:rsid w:val="00FF04A4"/>
    <w:rsid w:val="00FF712F"/>
    <w:rsid w:val="00FF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3C999D-BCD9-4428-AABD-F5BD53B2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unky Normal"/>
    <w:rsid w:val="00F344A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84C1C"/>
    <w:pPr>
      <w:keepNext/>
      <w:keepLines/>
      <w:numPr>
        <w:numId w:val="2"/>
      </w:numPr>
      <w:spacing w:before="360" w:line="440" w:lineRule="exact"/>
      <w:outlineLvl w:val="0"/>
    </w:pPr>
    <w:rPr>
      <w:rFonts w:eastAsiaTheme="majorEastAsia" w:cstheme="majorBidi"/>
      <w:b/>
      <w:sz w:val="34"/>
      <w:szCs w:val="32"/>
    </w:rPr>
  </w:style>
  <w:style w:type="paragraph" w:styleId="Heading2">
    <w:name w:val="heading 2"/>
    <w:basedOn w:val="Normal"/>
    <w:next w:val="Normal"/>
    <w:link w:val="Heading2Char"/>
    <w:uiPriority w:val="9"/>
    <w:unhideWhenUsed/>
    <w:qFormat/>
    <w:rsid w:val="00D629E0"/>
    <w:pPr>
      <w:keepNext/>
      <w:keepLines/>
      <w:numPr>
        <w:ilvl w:val="1"/>
        <w:numId w:val="2"/>
      </w:numPr>
      <w:spacing w:before="360" w:after="240"/>
      <w:outlineLvl w:val="1"/>
    </w:pPr>
    <w:rPr>
      <w:rFonts w:eastAsiaTheme="majorEastAsia" w:cstheme="majorBidi"/>
      <w:b/>
      <w:sz w:val="20"/>
      <w:szCs w:val="26"/>
    </w:rPr>
  </w:style>
  <w:style w:type="paragraph" w:styleId="Heading3">
    <w:name w:val="heading 3"/>
    <w:basedOn w:val="Normal"/>
    <w:next w:val="Normal"/>
    <w:link w:val="Heading3Char"/>
    <w:uiPriority w:val="9"/>
    <w:unhideWhenUsed/>
    <w:qFormat/>
    <w:rsid w:val="00D629E0"/>
    <w:pPr>
      <w:keepNext/>
      <w:keepLines/>
      <w:numPr>
        <w:ilvl w:val="2"/>
        <w:numId w:val="2"/>
      </w:numPr>
      <w:spacing w:before="240" w:after="240"/>
      <w:outlineLvl w:val="2"/>
    </w:pPr>
    <w:rPr>
      <w:rFonts w:eastAsiaTheme="majorEastAsia" w:cstheme="majorBidi"/>
      <w:b/>
      <w:sz w:val="20"/>
    </w:rPr>
  </w:style>
  <w:style w:type="paragraph" w:styleId="Heading4">
    <w:name w:val="heading 4"/>
    <w:basedOn w:val="Normal"/>
    <w:next w:val="Normal"/>
    <w:link w:val="Heading4Char"/>
    <w:uiPriority w:val="9"/>
    <w:unhideWhenUsed/>
    <w:qFormat/>
    <w:rsid w:val="004F00CE"/>
    <w:pPr>
      <w:keepNext/>
      <w:keepLines/>
      <w:numPr>
        <w:ilvl w:val="3"/>
        <w:numId w:val="2"/>
      </w:numPr>
      <w:spacing w:before="240" w:line="480" w:lineRule="auto"/>
      <w:outlineLvl w:val="3"/>
    </w:pPr>
    <w:rPr>
      <w:rFonts w:eastAsiaTheme="majorEastAsia" w:cstheme="majorBidi"/>
      <w:i/>
      <w:iCs/>
      <w:sz w:val="20"/>
      <w:u w:val="single"/>
    </w:rPr>
  </w:style>
  <w:style w:type="paragraph" w:styleId="Heading5">
    <w:name w:val="heading 5"/>
    <w:basedOn w:val="Normal"/>
    <w:next w:val="Normal"/>
    <w:link w:val="Heading5Char"/>
    <w:uiPriority w:val="9"/>
    <w:unhideWhenUsed/>
    <w:qFormat/>
    <w:rsid w:val="007C3A0C"/>
    <w:pPr>
      <w:keepNext/>
      <w:keepLines/>
      <w:numPr>
        <w:ilvl w:val="4"/>
        <w:numId w:val="2"/>
      </w:numPr>
      <w:spacing w:before="40" w:line="360" w:lineRule="auto"/>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156DA3"/>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6DA3"/>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6DA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6DA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3708"/>
    <w:pPr>
      <w:tabs>
        <w:tab w:val="center" w:pos="4320"/>
        <w:tab w:val="right" w:pos="8640"/>
      </w:tabs>
    </w:pPr>
  </w:style>
  <w:style w:type="character" w:customStyle="1" w:styleId="FooterChar">
    <w:name w:val="Footer Char"/>
    <w:basedOn w:val="DefaultParagraphFont"/>
    <w:link w:val="Footer"/>
    <w:uiPriority w:val="99"/>
    <w:rsid w:val="008E3708"/>
    <w:rPr>
      <w:rFonts w:ascii="Times New Roman" w:eastAsia="Times New Roman" w:hAnsi="Times New Roman" w:cs="Times New Roman"/>
      <w:sz w:val="24"/>
      <w:szCs w:val="24"/>
    </w:rPr>
  </w:style>
  <w:style w:type="character" w:styleId="PageNumber">
    <w:name w:val="page number"/>
    <w:basedOn w:val="DefaultParagraphFont"/>
    <w:rsid w:val="00A75290"/>
    <w:rPr>
      <w:rFonts w:ascii="Times New Roman" w:hAnsi="Times New Roman"/>
      <w:sz w:val="20"/>
    </w:rPr>
  </w:style>
  <w:style w:type="paragraph" w:styleId="Header">
    <w:name w:val="header"/>
    <w:basedOn w:val="Normal"/>
    <w:link w:val="HeaderChar"/>
    <w:uiPriority w:val="99"/>
    <w:unhideWhenUsed/>
    <w:rsid w:val="00BB1E19"/>
    <w:pPr>
      <w:tabs>
        <w:tab w:val="center" w:pos="4680"/>
        <w:tab w:val="right" w:pos="9360"/>
      </w:tabs>
    </w:pPr>
  </w:style>
  <w:style w:type="character" w:customStyle="1" w:styleId="HeaderChar">
    <w:name w:val="Header Char"/>
    <w:basedOn w:val="DefaultParagraphFont"/>
    <w:link w:val="Header"/>
    <w:uiPriority w:val="99"/>
    <w:rsid w:val="00BB1E1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84C1C"/>
    <w:rPr>
      <w:rFonts w:ascii="Times New Roman" w:eastAsiaTheme="majorEastAsia" w:hAnsi="Times New Roman" w:cstheme="majorBidi"/>
      <w:b/>
      <w:sz w:val="34"/>
      <w:szCs w:val="32"/>
    </w:rPr>
  </w:style>
  <w:style w:type="character" w:customStyle="1" w:styleId="Heading2Char">
    <w:name w:val="Heading 2 Char"/>
    <w:basedOn w:val="DefaultParagraphFont"/>
    <w:link w:val="Heading2"/>
    <w:uiPriority w:val="9"/>
    <w:rsid w:val="00D629E0"/>
    <w:rPr>
      <w:rFonts w:ascii="Times New Roman" w:eastAsiaTheme="majorEastAsia" w:hAnsi="Times New Roman" w:cstheme="majorBidi"/>
      <w:b/>
      <w:sz w:val="20"/>
      <w:szCs w:val="26"/>
    </w:rPr>
  </w:style>
  <w:style w:type="character" w:customStyle="1" w:styleId="Heading3Char">
    <w:name w:val="Heading 3 Char"/>
    <w:basedOn w:val="DefaultParagraphFont"/>
    <w:link w:val="Heading3"/>
    <w:uiPriority w:val="9"/>
    <w:rsid w:val="00D629E0"/>
    <w:rPr>
      <w:rFonts w:ascii="Times New Roman" w:eastAsiaTheme="majorEastAsia" w:hAnsi="Times New Roman" w:cstheme="majorBidi"/>
      <w:b/>
      <w:sz w:val="20"/>
      <w:szCs w:val="24"/>
    </w:rPr>
  </w:style>
  <w:style w:type="character" w:customStyle="1" w:styleId="Heading4Char">
    <w:name w:val="Heading 4 Char"/>
    <w:basedOn w:val="DefaultParagraphFont"/>
    <w:link w:val="Heading4"/>
    <w:uiPriority w:val="9"/>
    <w:rsid w:val="004F00CE"/>
    <w:rPr>
      <w:rFonts w:ascii="Times New Roman" w:eastAsiaTheme="majorEastAsia" w:hAnsi="Times New Roman" w:cstheme="majorBidi"/>
      <w:i/>
      <w:iCs/>
      <w:sz w:val="20"/>
      <w:szCs w:val="24"/>
      <w:u w:val="single"/>
    </w:rPr>
  </w:style>
  <w:style w:type="paragraph" w:styleId="NormalWeb">
    <w:name w:val="Normal (Web)"/>
    <w:basedOn w:val="Normal"/>
    <w:uiPriority w:val="99"/>
    <w:unhideWhenUsed/>
    <w:rsid w:val="00156DA3"/>
    <w:pPr>
      <w:spacing w:before="100" w:beforeAutospacing="1" w:after="100" w:afterAutospacing="1"/>
    </w:pPr>
    <w:rPr>
      <w:rFonts w:eastAsiaTheme="minorEastAsia"/>
    </w:rPr>
  </w:style>
  <w:style w:type="character" w:styleId="Hyperlink">
    <w:name w:val="Hyperlink"/>
    <w:basedOn w:val="DefaultParagraphFont"/>
    <w:uiPriority w:val="99"/>
    <w:unhideWhenUsed/>
    <w:rsid w:val="00156DA3"/>
    <w:rPr>
      <w:color w:val="0000FF"/>
      <w:u w:val="single"/>
    </w:rPr>
  </w:style>
  <w:style w:type="character" w:customStyle="1" w:styleId="Heading5Char">
    <w:name w:val="Heading 5 Char"/>
    <w:basedOn w:val="DefaultParagraphFont"/>
    <w:link w:val="Heading5"/>
    <w:uiPriority w:val="9"/>
    <w:rsid w:val="007C3A0C"/>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9"/>
    <w:semiHidden/>
    <w:rsid w:val="00156DA3"/>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156DA3"/>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56D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6DA3"/>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EE3834"/>
    <w:pPr>
      <w:spacing w:after="200"/>
    </w:pPr>
    <w:rPr>
      <w:b/>
      <w:iCs/>
      <w:szCs w:val="18"/>
    </w:rPr>
  </w:style>
  <w:style w:type="numbering" w:customStyle="1" w:styleId="NoList1">
    <w:name w:val="No List1"/>
    <w:next w:val="NoList"/>
    <w:uiPriority w:val="99"/>
    <w:semiHidden/>
    <w:unhideWhenUsed/>
    <w:rsid w:val="004B779C"/>
  </w:style>
  <w:style w:type="paragraph" w:styleId="ListParagraph">
    <w:name w:val="List Paragraph"/>
    <w:basedOn w:val="Normal"/>
    <w:uiPriority w:val="34"/>
    <w:qFormat/>
    <w:rsid w:val="004B779C"/>
    <w:pPr>
      <w:spacing w:line="480" w:lineRule="auto"/>
      <w:ind w:left="720" w:firstLine="720"/>
      <w:contextualSpacing/>
    </w:pPr>
    <w:rPr>
      <w:rFonts w:eastAsia="Calibri"/>
      <w:szCs w:val="22"/>
    </w:rPr>
  </w:style>
  <w:style w:type="paragraph" w:customStyle="1" w:styleId="Title1">
    <w:name w:val="Title1"/>
    <w:basedOn w:val="Normal"/>
    <w:next w:val="Normal"/>
    <w:uiPriority w:val="10"/>
    <w:qFormat/>
    <w:rsid w:val="004B779C"/>
    <w:pPr>
      <w:spacing w:line="480" w:lineRule="auto"/>
      <w:contextualSpacing/>
      <w:jc w:val="center"/>
    </w:pPr>
    <w:rPr>
      <w:b/>
      <w:spacing w:val="5"/>
      <w:kern w:val="28"/>
      <w:sz w:val="28"/>
      <w:szCs w:val="52"/>
    </w:rPr>
  </w:style>
  <w:style w:type="character" w:customStyle="1" w:styleId="TitleChar">
    <w:name w:val="Title Char"/>
    <w:basedOn w:val="DefaultParagraphFont"/>
    <w:link w:val="Title"/>
    <w:uiPriority w:val="10"/>
    <w:rsid w:val="004B779C"/>
    <w:rPr>
      <w:rFonts w:ascii="Times New Roman" w:eastAsia="Times New Roman" w:hAnsi="Times New Roman" w:cs="Times New Roman"/>
      <w:b/>
      <w:spacing w:val="5"/>
      <w:kern w:val="28"/>
      <w:sz w:val="28"/>
      <w:szCs w:val="52"/>
    </w:rPr>
  </w:style>
  <w:style w:type="character" w:customStyle="1" w:styleId="MTEquationSection">
    <w:name w:val="MTEquationSection"/>
    <w:basedOn w:val="DefaultParagraphFont"/>
    <w:rsid w:val="004B779C"/>
    <w:rPr>
      <w:vanish/>
      <w:color w:val="FF0000"/>
    </w:rPr>
  </w:style>
  <w:style w:type="paragraph" w:customStyle="1" w:styleId="MTDisplayEquation">
    <w:name w:val="MTDisplayEquation"/>
    <w:basedOn w:val="Normal"/>
    <w:next w:val="Normal"/>
    <w:link w:val="MTDisplayEquationChar"/>
    <w:rsid w:val="004B779C"/>
    <w:pPr>
      <w:tabs>
        <w:tab w:val="center" w:pos="4320"/>
        <w:tab w:val="right" w:pos="8640"/>
      </w:tabs>
      <w:spacing w:line="480" w:lineRule="auto"/>
      <w:ind w:firstLine="720"/>
    </w:pPr>
    <w:rPr>
      <w:rFonts w:eastAsia="Calibri"/>
      <w:szCs w:val="22"/>
    </w:rPr>
  </w:style>
  <w:style w:type="character" w:customStyle="1" w:styleId="MTDisplayEquationChar">
    <w:name w:val="MTDisplayEquation Char"/>
    <w:basedOn w:val="DefaultParagraphFont"/>
    <w:link w:val="MTDisplayEquation"/>
    <w:rsid w:val="004B779C"/>
    <w:rPr>
      <w:rFonts w:ascii="Times New Roman" w:eastAsia="Calibri" w:hAnsi="Times New Roman" w:cs="Times New Roman"/>
      <w:sz w:val="24"/>
    </w:rPr>
  </w:style>
  <w:style w:type="table" w:customStyle="1" w:styleId="TableGrid1">
    <w:name w:val="Table Grid1"/>
    <w:basedOn w:val="TableNormal"/>
    <w:next w:val="TableGrid"/>
    <w:uiPriority w:val="59"/>
    <w:rsid w:val="004B779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B779C"/>
    <w:pPr>
      <w:ind w:firstLine="72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B779C"/>
    <w:rPr>
      <w:rFonts w:ascii="Tahoma" w:eastAsia="Calibri" w:hAnsi="Tahoma" w:cs="Tahoma"/>
      <w:sz w:val="16"/>
      <w:szCs w:val="16"/>
    </w:rPr>
  </w:style>
  <w:style w:type="character" w:styleId="PlaceholderText">
    <w:name w:val="Placeholder Text"/>
    <w:basedOn w:val="DefaultParagraphFont"/>
    <w:uiPriority w:val="99"/>
    <w:semiHidden/>
    <w:rsid w:val="004B779C"/>
    <w:rPr>
      <w:color w:val="808080"/>
    </w:rPr>
  </w:style>
  <w:style w:type="character" w:styleId="CommentReference">
    <w:name w:val="annotation reference"/>
    <w:basedOn w:val="DefaultParagraphFont"/>
    <w:uiPriority w:val="99"/>
    <w:semiHidden/>
    <w:unhideWhenUsed/>
    <w:rsid w:val="004B779C"/>
    <w:rPr>
      <w:sz w:val="16"/>
      <w:szCs w:val="16"/>
    </w:rPr>
  </w:style>
  <w:style w:type="paragraph" w:styleId="CommentText">
    <w:name w:val="annotation text"/>
    <w:basedOn w:val="Normal"/>
    <w:link w:val="CommentTextChar"/>
    <w:uiPriority w:val="99"/>
    <w:semiHidden/>
    <w:unhideWhenUsed/>
    <w:rsid w:val="004B779C"/>
    <w:pPr>
      <w:ind w:firstLine="720"/>
    </w:pPr>
    <w:rPr>
      <w:rFonts w:eastAsia="Calibri"/>
      <w:sz w:val="20"/>
      <w:szCs w:val="20"/>
    </w:rPr>
  </w:style>
  <w:style w:type="character" w:customStyle="1" w:styleId="CommentTextChar">
    <w:name w:val="Comment Text Char"/>
    <w:basedOn w:val="DefaultParagraphFont"/>
    <w:link w:val="CommentText"/>
    <w:uiPriority w:val="99"/>
    <w:semiHidden/>
    <w:rsid w:val="004B779C"/>
    <w:rPr>
      <w:rFonts w:ascii="Times New Roman" w:eastAsia="Calibri" w:hAnsi="Times New Roman" w:cs="Times New Roman"/>
      <w:sz w:val="20"/>
      <w:szCs w:val="20"/>
    </w:rPr>
  </w:style>
  <w:style w:type="paragraph" w:styleId="Title">
    <w:name w:val="Title"/>
    <w:basedOn w:val="Normal"/>
    <w:next w:val="Normal"/>
    <w:link w:val="TitleChar"/>
    <w:uiPriority w:val="10"/>
    <w:qFormat/>
    <w:rsid w:val="004B779C"/>
    <w:pPr>
      <w:contextualSpacing/>
    </w:pPr>
    <w:rPr>
      <w:b/>
      <w:spacing w:val="5"/>
      <w:kern w:val="28"/>
      <w:sz w:val="28"/>
      <w:szCs w:val="52"/>
    </w:rPr>
  </w:style>
  <w:style w:type="character" w:customStyle="1" w:styleId="TitleChar1">
    <w:name w:val="Title Char1"/>
    <w:basedOn w:val="DefaultParagraphFont"/>
    <w:uiPriority w:val="10"/>
    <w:rsid w:val="004B779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B7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162D"/>
  </w:style>
  <w:style w:type="table" w:customStyle="1" w:styleId="TableGrid2">
    <w:name w:val="Table Grid2"/>
    <w:basedOn w:val="TableNormal"/>
    <w:next w:val="TableGrid"/>
    <w:uiPriority w:val="59"/>
    <w:rsid w:val="007B16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D339F4"/>
  </w:style>
  <w:style w:type="table" w:customStyle="1" w:styleId="TableGrid3">
    <w:name w:val="Table Grid3"/>
    <w:basedOn w:val="TableNormal"/>
    <w:next w:val="TableGrid"/>
    <w:uiPriority w:val="59"/>
    <w:rsid w:val="00D339F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D339F4"/>
    <w:rPr>
      <w:b/>
      <w:bCs/>
    </w:rPr>
  </w:style>
  <w:style w:type="character" w:customStyle="1" w:styleId="CommentSubjectChar">
    <w:name w:val="Comment Subject Char"/>
    <w:basedOn w:val="CommentTextChar"/>
    <w:link w:val="CommentSubject"/>
    <w:uiPriority w:val="99"/>
    <w:semiHidden/>
    <w:rsid w:val="00D339F4"/>
    <w:rPr>
      <w:rFonts w:ascii="Times New Roman" w:eastAsia="Calibri" w:hAnsi="Times New Roman" w:cs="Times New Roman"/>
      <w:b/>
      <w:bCs/>
      <w:sz w:val="20"/>
      <w:szCs w:val="20"/>
    </w:rPr>
  </w:style>
  <w:style w:type="numbering" w:customStyle="1" w:styleId="NoList4">
    <w:name w:val="No List4"/>
    <w:next w:val="NoList"/>
    <w:uiPriority w:val="99"/>
    <w:semiHidden/>
    <w:unhideWhenUsed/>
    <w:rsid w:val="00C05071"/>
  </w:style>
  <w:style w:type="table" w:customStyle="1" w:styleId="TableGrid4">
    <w:name w:val="Table Grid4"/>
    <w:basedOn w:val="TableNormal"/>
    <w:next w:val="TableGrid"/>
    <w:uiPriority w:val="59"/>
    <w:rsid w:val="00C0507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41657C"/>
    <w:pPr>
      <w:spacing w:after="100"/>
      <w:ind w:left="240"/>
    </w:pPr>
  </w:style>
  <w:style w:type="paragraph" w:styleId="TOC1">
    <w:name w:val="toc 1"/>
    <w:basedOn w:val="Normal"/>
    <w:next w:val="Normal"/>
    <w:autoRedefine/>
    <w:uiPriority w:val="39"/>
    <w:unhideWhenUsed/>
    <w:rsid w:val="003B1FA3"/>
    <w:pPr>
      <w:tabs>
        <w:tab w:val="right" w:leader="dot" w:pos="8630"/>
      </w:tabs>
      <w:spacing w:after="100"/>
      <w:ind w:left="720" w:hanging="720"/>
    </w:pPr>
  </w:style>
  <w:style w:type="paragraph" w:styleId="TOC3">
    <w:name w:val="toc 3"/>
    <w:basedOn w:val="Normal"/>
    <w:next w:val="Normal"/>
    <w:autoRedefine/>
    <w:uiPriority w:val="39"/>
    <w:unhideWhenUsed/>
    <w:rsid w:val="0041657C"/>
    <w:pPr>
      <w:spacing w:after="100"/>
      <w:ind w:left="480"/>
    </w:pPr>
  </w:style>
  <w:style w:type="paragraph" w:styleId="TOC4">
    <w:name w:val="toc 4"/>
    <w:basedOn w:val="Normal"/>
    <w:next w:val="Normal"/>
    <w:autoRedefine/>
    <w:uiPriority w:val="39"/>
    <w:unhideWhenUsed/>
    <w:rsid w:val="0041657C"/>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1657C"/>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1657C"/>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1657C"/>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1657C"/>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1657C"/>
    <w:pPr>
      <w:spacing w:after="100" w:line="259" w:lineRule="auto"/>
      <w:ind w:left="1760"/>
    </w:pPr>
    <w:rPr>
      <w:rFonts w:asciiTheme="minorHAnsi" w:eastAsiaTheme="minorEastAsia" w:hAnsiTheme="minorHAnsi" w:cstheme="minorBidi"/>
      <w:sz w:val="22"/>
      <w:szCs w:val="22"/>
    </w:rPr>
  </w:style>
  <w:style w:type="paragraph" w:customStyle="1" w:styleId="NormalNew">
    <w:name w:val="Normal New"/>
    <w:basedOn w:val="Normal"/>
    <w:qFormat/>
    <w:rsid w:val="004F00CE"/>
    <w:pPr>
      <w:spacing w:after="240" w:line="360" w:lineRule="auto"/>
      <w:jc w:val="both"/>
    </w:pPr>
    <w:rPr>
      <w:rFonts w:eastAsia="Calibri"/>
      <w:sz w:val="20"/>
      <w:szCs w:val="22"/>
    </w:rPr>
  </w:style>
  <w:style w:type="paragraph" w:styleId="TableofFigures">
    <w:name w:val="table of figures"/>
    <w:basedOn w:val="Normal"/>
    <w:next w:val="Normal"/>
    <w:uiPriority w:val="99"/>
    <w:unhideWhenUsed/>
    <w:rsid w:val="00724045"/>
  </w:style>
  <w:style w:type="table" w:customStyle="1" w:styleId="TableGrid5">
    <w:name w:val="Table Grid5"/>
    <w:basedOn w:val="TableNormal"/>
    <w:next w:val="TableGrid"/>
    <w:uiPriority w:val="59"/>
    <w:rsid w:val="00D56FB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704EF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237E4"/>
  </w:style>
  <w:style w:type="table" w:customStyle="1" w:styleId="TableGrid7">
    <w:name w:val="Table Grid7"/>
    <w:basedOn w:val="TableNormal"/>
    <w:next w:val="TableGrid"/>
    <w:uiPriority w:val="59"/>
    <w:rsid w:val="00E237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51">
    <w:name w:val="Heading 51"/>
    <w:basedOn w:val="Normal"/>
    <w:next w:val="Normal"/>
    <w:uiPriority w:val="9"/>
    <w:unhideWhenUsed/>
    <w:qFormat/>
    <w:rsid w:val="00E237E4"/>
    <w:pPr>
      <w:keepNext/>
      <w:keepLines/>
      <w:spacing w:before="40" w:line="360" w:lineRule="auto"/>
      <w:ind w:left="4320" w:hanging="360"/>
      <w:outlineLvl w:val="4"/>
    </w:pPr>
  </w:style>
  <w:style w:type="paragraph" w:customStyle="1" w:styleId="Heading61">
    <w:name w:val="Heading 61"/>
    <w:basedOn w:val="Normal"/>
    <w:next w:val="Normal"/>
    <w:uiPriority w:val="9"/>
    <w:semiHidden/>
    <w:unhideWhenUsed/>
    <w:qFormat/>
    <w:rsid w:val="00E237E4"/>
    <w:pPr>
      <w:keepNext/>
      <w:keepLines/>
      <w:spacing w:before="40"/>
      <w:ind w:left="5040" w:hanging="180"/>
      <w:outlineLvl w:val="5"/>
    </w:pPr>
    <w:rPr>
      <w:rFonts w:ascii="Calibri Light" w:hAnsi="Calibri Light"/>
      <w:color w:val="1F4D78"/>
    </w:rPr>
  </w:style>
  <w:style w:type="paragraph" w:customStyle="1" w:styleId="Heading71">
    <w:name w:val="Heading 71"/>
    <w:basedOn w:val="Normal"/>
    <w:next w:val="Normal"/>
    <w:uiPriority w:val="9"/>
    <w:semiHidden/>
    <w:unhideWhenUsed/>
    <w:qFormat/>
    <w:rsid w:val="00E237E4"/>
    <w:pPr>
      <w:keepNext/>
      <w:keepLines/>
      <w:spacing w:before="40"/>
      <w:ind w:left="5760" w:hanging="360"/>
      <w:outlineLvl w:val="6"/>
    </w:pPr>
    <w:rPr>
      <w:rFonts w:ascii="Calibri Light" w:hAnsi="Calibri Light"/>
      <w:i/>
      <w:iCs/>
      <w:color w:val="1F4D78"/>
    </w:rPr>
  </w:style>
  <w:style w:type="paragraph" w:customStyle="1" w:styleId="Heading91">
    <w:name w:val="Heading 91"/>
    <w:basedOn w:val="Normal"/>
    <w:next w:val="Normal"/>
    <w:uiPriority w:val="9"/>
    <w:semiHidden/>
    <w:unhideWhenUsed/>
    <w:qFormat/>
    <w:rsid w:val="00E237E4"/>
    <w:pPr>
      <w:keepNext/>
      <w:keepLines/>
      <w:spacing w:before="40"/>
      <w:ind w:left="7200" w:hanging="180"/>
      <w:outlineLvl w:val="8"/>
    </w:pPr>
    <w:rPr>
      <w:rFonts w:ascii="Calibri Light" w:hAnsi="Calibri Light"/>
      <w:i/>
      <w:iCs/>
      <w:color w:val="272727"/>
      <w:sz w:val="21"/>
      <w:szCs w:val="21"/>
    </w:rPr>
  </w:style>
  <w:style w:type="numbering" w:customStyle="1" w:styleId="NoList11">
    <w:name w:val="No List11"/>
    <w:next w:val="NoList"/>
    <w:uiPriority w:val="99"/>
    <w:semiHidden/>
    <w:unhideWhenUsed/>
    <w:rsid w:val="00E237E4"/>
  </w:style>
  <w:style w:type="numbering" w:customStyle="1" w:styleId="NoList111">
    <w:name w:val="No List111"/>
    <w:next w:val="NoList"/>
    <w:uiPriority w:val="99"/>
    <w:semiHidden/>
    <w:unhideWhenUsed/>
    <w:rsid w:val="00E237E4"/>
  </w:style>
  <w:style w:type="table" w:customStyle="1" w:styleId="TableGrid11">
    <w:name w:val="Table Grid11"/>
    <w:basedOn w:val="TableNormal"/>
    <w:next w:val="TableGrid"/>
    <w:uiPriority w:val="59"/>
    <w:rsid w:val="00E237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E23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237E4"/>
  </w:style>
  <w:style w:type="table" w:customStyle="1" w:styleId="TableGrid211">
    <w:name w:val="Table Grid211"/>
    <w:basedOn w:val="TableNormal"/>
    <w:next w:val="TableGrid"/>
    <w:uiPriority w:val="59"/>
    <w:rsid w:val="00E237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E237E4"/>
  </w:style>
  <w:style w:type="table" w:customStyle="1" w:styleId="TableGrid31">
    <w:name w:val="Table Grid31"/>
    <w:basedOn w:val="TableNormal"/>
    <w:next w:val="TableGrid"/>
    <w:uiPriority w:val="59"/>
    <w:rsid w:val="00E237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E237E4"/>
  </w:style>
  <w:style w:type="table" w:customStyle="1" w:styleId="TableGrid41">
    <w:name w:val="Table Grid41"/>
    <w:basedOn w:val="TableNormal"/>
    <w:next w:val="TableGrid"/>
    <w:uiPriority w:val="59"/>
    <w:rsid w:val="00E237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41">
    <w:name w:val="TOC 41"/>
    <w:basedOn w:val="Normal"/>
    <w:next w:val="Normal"/>
    <w:autoRedefine/>
    <w:uiPriority w:val="39"/>
    <w:unhideWhenUsed/>
    <w:rsid w:val="00E237E4"/>
    <w:pPr>
      <w:spacing w:after="100" w:line="259" w:lineRule="auto"/>
      <w:ind w:left="660"/>
    </w:pPr>
    <w:rPr>
      <w:rFonts w:ascii="Calibri" w:hAnsi="Calibri"/>
      <w:sz w:val="22"/>
      <w:szCs w:val="22"/>
    </w:rPr>
  </w:style>
  <w:style w:type="paragraph" w:customStyle="1" w:styleId="TOC51">
    <w:name w:val="TOC 51"/>
    <w:basedOn w:val="Normal"/>
    <w:next w:val="Normal"/>
    <w:autoRedefine/>
    <w:uiPriority w:val="39"/>
    <w:unhideWhenUsed/>
    <w:rsid w:val="00E237E4"/>
    <w:pPr>
      <w:spacing w:after="100" w:line="259" w:lineRule="auto"/>
      <w:ind w:left="880"/>
    </w:pPr>
    <w:rPr>
      <w:rFonts w:ascii="Calibri" w:hAnsi="Calibri"/>
      <w:sz w:val="22"/>
      <w:szCs w:val="22"/>
    </w:rPr>
  </w:style>
  <w:style w:type="paragraph" w:customStyle="1" w:styleId="TOC61">
    <w:name w:val="TOC 61"/>
    <w:basedOn w:val="Normal"/>
    <w:next w:val="Normal"/>
    <w:autoRedefine/>
    <w:uiPriority w:val="39"/>
    <w:unhideWhenUsed/>
    <w:rsid w:val="00E237E4"/>
    <w:pPr>
      <w:spacing w:after="100" w:line="259" w:lineRule="auto"/>
      <w:ind w:left="1100"/>
    </w:pPr>
    <w:rPr>
      <w:rFonts w:ascii="Calibri" w:hAnsi="Calibri"/>
      <w:sz w:val="22"/>
      <w:szCs w:val="22"/>
    </w:rPr>
  </w:style>
  <w:style w:type="paragraph" w:customStyle="1" w:styleId="TOC71">
    <w:name w:val="TOC 71"/>
    <w:basedOn w:val="Normal"/>
    <w:next w:val="Normal"/>
    <w:autoRedefine/>
    <w:uiPriority w:val="39"/>
    <w:unhideWhenUsed/>
    <w:rsid w:val="00E237E4"/>
    <w:pPr>
      <w:spacing w:after="100" w:line="259" w:lineRule="auto"/>
      <w:ind w:left="1320"/>
    </w:pPr>
    <w:rPr>
      <w:rFonts w:ascii="Calibri" w:hAnsi="Calibri"/>
      <w:sz w:val="22"/>
      <w:szCs w:val="22"/>
    </w:rPr>
  </w:style>
  <w:style w:type="paragraph" w:customStyle="1" w:styleId="TOC81">
    <w:name w:val="TOC 81"/>
    <w:basedOn w:val="Normal"/>
    <w:next w:val="Normal"/>
    <w:autoRedefine/>
    <w:uiPriority w:val="39"/>
    <w:unhideWhenUsed/>
    <w:rsid w:val="00E237E4"/>
    <w:pPr>
      <w:spacing w:after="100" w:line="259" w:lineRule="auto"/>
      <w:ind w:left="1540"/>
    </w:pPr>
    <w:rPr>
      <w:rFonts w:ascii="Calibri" w:hAnsi="Calibri"/>
      <w:sz w:val="22"/>
      <w:szCs w:val="22"/>
    </w:rPr>
  </w:style>
  <w:style w:type="paragraph" w:customStyle="1" w:styleId="TOC91">
    <w:name w:val="TOC 91"/>
    <w:basedOn w:val="Normal"/>
    <w:next w:val="Normal"/>
    <w:autoRedefine/>
    <w:uiPriority w:val="39"/>
    <w:unhideWhenUsed/>
    <w:rsid w:val="00E237E4"/>
    <w:pPr>
      <w:spacing w:after="100" w:line="259" w:lineRule="auto"/>
      <w:ind w:left="1760"/>
    </w:pPr>
    <w:rPr>
      <w:rFonts w:ascii="Calibri" w:hAnsi="Calibri"/>
      <w:sz w:val="22"/>
      <w:szCs w:val="22"/>
    </w:rPr>
  </w:style>
  <w:style w:type="table" w:customStyle="1" w:styleId="TableGrid51">
    <w:name w:val="Table Grid51"/>
    <w:basedOn w:val="TableNormal"/>
    <w:next w:val="TableGrid"/>
    <w:uiPriority w:val="59"/>
    <w:rsid w:val="00E237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E237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1">
    <w:name w:val="Heading 5 Char1"/>
    <w:basedOn w:val="DefaultParagraphFont"/>
    <w:uiPriority w:val="9"/>
    <w:semiHidden/>
    <w:rsid w:val="00E237E4"/>
    <w:rPr>
      <w:rFonts w:ascii="Cambria" w:eastAsia="Times New Roman" w:hAnsi="Cambria" w:cs="Times New Roman"/>
      <w:color w:val="365F91"/>
      <w:sz w:val="24"/>
    </w:rPr>
  </w:style>
  <w:style w:type="character" w:customStyle="1" w:styleId="Heading6Char1">
    <w:name w:val="Heading 6 Char1"/>
    <w:basedOn w:val="DefaultParagraphFont"/>
    <w:uiPriority w:val="9"/>
    <w:semiHidden/>
    <w:rsid w:val="00E237E4"/>
    <w:rPr>
      <w:rFonts w:ascii="Cambria" w:eastAsia="Times New Roman" w:hAnsi="Cambria" w:cs="Times New Roman"/>
      <w:color w:val="243F60"/>
      <w:sz w:val="24"/>
    </w:rPr>
  </w:style>
  <w:style w:type="character" w:customStyle="1" w:styleId="Heading7Char1">
    <w:name w:val="Heading 7 Char1"/>
    <w:basedOn w:val="DefaultParagraphFont"/>
    <w:uiPriority w:val="9"/>
    <w:semiHidden/>
    <w:rsid w:val="00E237E4"/>
    <w:rPr>
      <w:rFonts w:ascii="Cambria" w:eastAsia="Times New Roman" w:hAnsi="Cambria" w:cs="Times New Roman"/>
      <w:i/>
      <w:iCs/>
      <w:color w:val="243F60"/>
      <w:sz w:val="24"/>
    </w:rPr>
  </w:style>
  <w:style w:type="character" w:customStyle="1" w:styleId="Heading9Char1">
    <w:name w:val="Heading 9 Char1"/>
    <w:basedOn w:val="DefaultParagraphFont"/>
    <w:uiPriority w:val="9"/>
    <w:semiHidden/>
    <w:rsid w:val="00E237E4"/>
    <w:rPr>
      <w:rFonts w:ascii="Cambria" w:eastAsia="Times New Roman" w:hAnsi="Cambria" w:cs="Times New Roman"/>
      <w:i/>
      <w:iCs/>
      <w:color w:val="272727"/>
      <w:sz w:val="21"/>
      <w:szCs w:val="21"/>
    </w:rPr>
  </w:style>
  <w:style w:type="character" w:customStyle="1" w:styleId="sc11">
    <w:name w:val="sc11"/>
    <w:basedOn w:val="DefaultParagraphFont"/>
    <w:rsid w:val="00E237E4"/>
    <w:rPr>
      <w:rFonts w:ascii="Courier New" w:hAnsi="Courier New" w:cs="Courier New" w:hint="default"/>
      <w:color w:val="008000"/>
      <w:sz w:val="20"/>
      <w:szCs w:val="20"/>
    </w:rPr>
  </w:style>
  <w:style w:type="character" w:customStyle="1" w:styleId="sc0">
    <w:name w:val="sc0"/>
    <w:basedOn w:val="DefaultParagraphFont"/>
    <w:rsid w:val="00E237E4"/>
    <w:rPr>
      <w:rFonts w:ascii="Courier New" w:hAnsi="Courier New" w:cs="Courier New" w:hint="default"/>
      <w:color w:val="000000"/>
      <w:sz w:val="20"/>
      <w:szCs w:val="20"/>
    </w:rPr>
  </w:style>
  <w:style w:type="character" w:customStyle="1" w:styleId="sc31">
    <w:name w:val="sc31"/>
    <w:basedOn w:val="DefaultParagraphFont"/>
    <w:rsid w:val="00E237E4"/>
    <w:rPr>
      <w:rFonts w:ascii="Courier New" w:hAnsi="Courier New" w:cs="Courier New" w:hint="default"/>
      <w:color w:val="0000FF"/>
      <w:sz w:val="20"/>
      <w:szCs w:val="20"/>
    </w:rPr>
  </w:style>
  <w:style w:type="character" w:customStyle="1" w:styleId="sc7">
    <w:name w:val="sc7"/>
    <w:basedOn w:val="DefaultParagraphFont"/>
    <w:rsid w:val="00E237E4"/>
    <w:rPr>
      <w:rFonts w:ascii="Courier New" w:hAnsi="Courier New" w:cs="Courier New" w:hint="default"/>
      <w:color w:val="000000"/>
      <w:sz w:val="20"/>
      <w:szCs w:val="20"/>
    </w:rPr>
  </w:style>
  <w:style w:type="character" w:customStyle="1" w:styleId="sc61">
    <w:name w:val="sc61"/>
    <w:basedOn w:val="DefaultParagraphFont"/>
    <w:rsid w:val="00E237E4"/>
    <w:rPr>
      <w:rFonts w:ascii="Courier New" w:hAnsi="Courier New" w:cs="Courier New" w:hint="default"/>
      <w:b/>
      <w:bCs/>
      <w:color w:val="000000"/>
      <w:sz w:val="20"/>
      <w:szCs w:val="20"/>
    </w:rPr>
  </w:style>
  <w:style w:type="character" w:customStyle="1" w:styleId="sc2">
    <w:name w:val="sc2"/>
    <w:basedOn w:val="DefaultParagraphFont"/>
    <w:rsid w:val="00E237E4"/>
    <w:rPr>
      <w:rFonts w:ascii="Courier New" w:hAnsi="Courier New" w:cs="Courier New" w:hint="default"/>
      <w:color w:val="000000"/>
      <w:sz w:val="20"/>
      <w:szCs w:val="20"/>
    </w:rPr>
  </w:style>
  <w:style w:type="character" w:customStyle="1" w:styleId="sc41">
    <w:name w:val="sc41"/>
    <w:basedOn w:val="DefaultParagraphFont"/>
    <w:rsid w:val="00E237E4"/>
    <w:rPr>
      <w:rFonts w:ascii="Courier New" w:hAnsi="Courier New" w:cs="Courier New" w:hint="default"/>
      <w:color w:val="BB06A9"/>
      <w:sz w:val="20"/>
      <w:szCs w:val="20"/>
    </w:rPr>
  </w:style>
  <w:style w:type="paragraph" w:customStyle="1" w:styleId="msonormal0">
    <w:name w:val="msonormal"/>
    <w:basedOn w:val="Normal"/>
    <w:rsid w:val="00E237E4"/>
    <w:pPr>
      <w:spacing w:before="100" w:beforeAutospacing="1" w:after="100" w:afterAutospacing="1"/>
    </w:pPr>
  </w:style>
  <w:style w:type="paragraph" w:customStyle="1" w:styleId="sc1">
    <w:name w:val="sc1"/>
    <w:basedOn w:val="Normal"/>
    <w:rsid w:val="00E237E4"/>
    <w:pPr>
      <w:spacing w:before="100" w:beforeAutospacing="1" w:after="100" w:afterAutospacing="1"/>
    </w:pPr>
    <w:rPr>
      <w:color w:val="008000"/>
    </w:rPr>
  </w:style>
  <w:style w:type="paragraph" w:customStyle="1" w:styleId="sc3">
    <w:name w:val="sc3"/>
    <w:basedOn w:val="Normal"/>
    <w:rsid w:val="00E237E4"/>
    <w:pPr>
      <w:spacing w:before="100" w:beforeAutospacing="1" w:after="100" w:afterAutospacing="1"/>
    </w:pPr>
    <w:rPr>
      <w:color w:val="1407AB"/>
    </w:rPr>
  </w:style>
  <w:style w:type="paragraph" w:customStyle="1" w:styleId="sc4">
    <w:name w:val="sc4"/>
    <w:basedOn w:val="Normal"/>
    <w:rsid w:val="00E237E4"/>
    <w:pPr>
      <w:spacing w:before="100" w:beforeAutospacing="1" w:after="100" w:afterAutospacing="1"/>
    </w:pPr>
    <w:rPr>
      <w:color w:val="BB06A9"/>
    </w:rPr>
  </w:style>
  <w:style w:type="paragraph" w:customStyle="1" w:styleId="sc6">
    <w:name w:val="sc6"/>
    <w:basedOn w:val="Normal"/>
    <w:rsid w:val="00E237E4"/>
    <w:pPr>
      <w:spacing w:before="100" w:beforeAutospacing="1" w:after="100" w:afterAutospacing="1"/>
    </w:pPr>
    <w:rPr>
      <w:b/>
      <w:bCs/>
    </w:rPr>
  </w:style>
  <w:style w:type="paragraph" w:styleId="NoSpacing">
    <w:name w:val="No Spacing"/>
    <w:uiPriority w:val="1"/>
    <w:qFormat/>
    <w:rsid w:val="00BC52C2"/>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33D4C"/>
    <w:rPr>
      <w:color w:val="808080"/>
      <w:shd w:val="clear" w:color="auto" w:fill="E6E6E6"/>
    </w:rPr>
  </w:style>
  <w:style w:type="character" w:styleId="LineNumber">
    <w:name w:val="line number"/>
    <w:basedOn w:val="DefaultParagraphFont"/>
    <w:uiPriority w:val="99"/>
    <w:unhideWhenUsed/>
    <w:rsid w:val="00F17E61"/>
    <w:rPr>
      <w:rFonts w:ascii="Times New Roman" w:hAnsi="Times New Roman"/>
      <w:sz w:val="20"/>
    </w:rPr>
  </w:style>
  <w:style w:type="paragraph" w:styleId="Revision">
    <w:name w:val="Revision"/>
    <w:hidden/>
    <w:uiPriority w:val="99"/>
    <w:semiHidden/>
    <w:rsid w:val="00B641F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279364">
      <w:bodyDiv w:val="1"/>
      <w:marLeft w:val="0"/>
      <w:marRight w:val="0"/>
      <w:marTop w:val="0"/>
      <w:marBottom w:val="0"/>
      <w:divBdr>
        <w:top w:val="none" w:sz="0" w:space="0" w:color="auto"/>
        <w:left w:val="none" w:sz="0" w:space="0" w:color="auto"/>
        <w:bottom w:val="none" w:sz="0" w:space="0" w:color="auto"/>
        <w:right w:val="none" w:sz="0" w:space="0" w:color="auto"/>
      </w:divBdr>
    </w:div>
    <w:div w:id="1606843467">
      <w:bodyDiv w:val="1"/>
      <w:marLeft w:val="0"/>
      <w:marRight w:val="0"/>
      <w:marTop w:val="0"/>
      <w:marBottom w:val="0"/>
      <w:divBdr>
        <w:top w:val="none" w:sz="0" w:space="0" w:color="auto"/>
        <w:left w:val="none" w:sz="0" w:space="0" w:color="auto"/>
        <w:bottom w:val="none" w:sz="0" w:space="0" w:color="auto"/>
        <w:right w:val="none" w:sz="0" w:space="0" w:color="auto"/>
      </w:divBdr>
    </w:div>
    <w:div w:id="1670861458">
      <w:bodyDiv w:val="1"/>
      <w:marLeft w:val="0"/>
      <w:marRight w:val="0"/>
      <w:marTop w:val="0"/>
      <w:marBottom w:val="0"/>
      <w:divBdr>
        <w:top w:val="none" w:sz="0" w:space="0" w:color="auto"/>
        <w:left w:val="none" w:sz="0" w:space="0" w:color="auto"/>
        <w:bottom w:val="none" w:sz="0" w:space="0" w:color="auto"/>
        <w:right w:val="none" w:sz="0" w:space="0" w:color="auto"/>
      </w:divBdr>
    </w:div>
    <w:div w:id="17018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footer" Target="footer3.xml"/><Relationship Id="rId47" Type="http://schemas.openxmlformats.org/officeDocument/2006/relationships/image" Target="media/image34.wmf"/><Relationship Id="rId63" Type="http://schemas.openxmlformats.org/officeDocument/2006/relationships/image" Target="media/image48.EMF"/><Relationship Id="rId68" Type="http://schemas.openxmlformats.org/officeDocument/2006/relationships/header" Target="header6.xml"/><Relationship Id="rId16" Type="http://schemas.openxmlformats.org/officeDocument/2006/relationships/image" Target="media/image9.e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image" Target="media/image32.wmf"/><Relationship Id="rId53" Type="http://schemas.openxmlformats.org/officeDocument/2006/relationships/image" Target="media/image40.wmf"/><Relationship Id="rId58" Type="http://schemas.openxmlformats.org/officeDocument/2006/relationships/image" Target="media/image43.emf"/><Relationship Id="rId66" Type="http://schemas.openxmlformats.org/officeDocument/2006/relationships/header" Target="header5.xml"/><Relationship Id="rId74" Type="http://schemas.openxmlformats.org/officeDocument/2006/relationships/header" Target="header8.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6.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EMF"/><Relationship Id="rId43" Type="http://schemas.openxmlformats.org/officeDocument/2006/relationships/image" Target="media/image30.emf"/><Relationship Id="rId48" Type="http://schemas.openxmlformats.org/officeDocument/2006/relationships/image" Target="media/image35.wmf"/><Relationship Id="rId56" Type="http://schemas.openxmlformats.org/officeDocument/2006/relationships/footer" Target="footer4.xml"/><Relationship Id="rId64" Type="http://schemas.openxmlformats.org/officeDocument/2006/relationships/image" Target="media/image49.wmf"/><Relationship Id="rId69" Type="http://schemas.openxmlformats.org/officeDocument/2006/relationships/footer" Target="footer6.xml"/><Relationship Id="rId77" Type="http://schemas.openxmlformats.org/officeDocument/2006/relationships/header" Target="header9.xml"/><Relationship Id="rId8" Type="http://schemas.openxmlformats.org/officeDocument/2006/relationships/image" Target="media/image1.wmf"/><Relationship Id="rId51" Type="http://schemas.openxmlformats.org/officeDocument/2006/relationships/image" Target="media/image38.wmf"/><Relationship Id="rId72" Type="http://schemas.openxmlformats.org/officeDocument/2006/relationships/hyperlink" Target="https://tigerprints.clemson.edu/all_dissertations/1942"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emf"/><Relationship Id="rId38" Type="http://schemas.openxmlformats.org/officeDocument/2006/relationships/header" Target="header2.xml"/><Relationship Id="rId46" Type="http://schemas.openxmlformats.org/officeDocument/2006/relationships/image" Target="media/image33.emf"/><Relationship Id="rId59" Type="http://schemas.openxmlformats.org/officeDocument/2006/relationships/image" Target="media/image44.wmf"/><Relationship Id="rId67" Type="http://schemas.openxmlformats.org/officeDocument/2006/relationships/footer" Target="footer5.xml"/><Relationship Id="rId20" Type="http://schemas.openxmlformats.org/officeDocument/2006/relationships/image" Target="media/image13.wmf"/><Relationship Id="rId41" Type="http://schemas.openxmlformats.org/officeDocument/2006/relationships/header" Target="header3.xml"/><Relationship Id="rId54" Type="http://schemas.openxmlformats.org/officeDocument/2006/relationships/image" Target="media/image41.wmf"/><Relationship Id="rId62" Type="http://schemas.openxmlformats.org/officeDocument/2006/relationships/image" Target="media/image47.wmf"/><Relationship Id="rId70" Type="http://schemas.openxmlformats.org/officeDocument/2006/relationships/image" Target="media/image51.wmf"/><Relationship Id="rId75"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emf"/><Relationship Id="rId36" Type="http://schemas.openxmlformats.org/officeDocument/2006/relationships/image" Target="media/image29.wmf"/><Relationship Id="rId49" Type="http://schemas.openxmlformats.org/officeDocument/2006/relationships/image" Target="media/image36.emf"/><Relationship Id="rId57" Type="http://schemas.openxmlformats.org/officeDocument/2006/relationships/image" Target="media/image42.EMF"/><Relationship Id="rId10" Type="http://schemas.openxmlformats.org/officeDocument/2006/relationships/image" Target="media/image3.emf"/><Relationship Id="rId31" Type="http://schemas.openxmlformats.org/officeDocument/2006/relationships/image" Target="media/image24.wmf"/><Relationship Id="rId44" Type="http://schemas.openxmlformats.org/officeDocument/2006/relationships/image" Target="media/image31.wmf"/><Relationship Id="rId52" Type="http://schemas.openxmlformats.org/officeDocument/2006/relationships/image" Target="media/image39.e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header" Target="header7.xml"/><Relationship Id="rId78"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footer" Target="footer1.xml"/><Relationship Id="rId34" Type="http://schemas.openxmlformats.org/officeDocument/2006/relationships/image" Target="media/image27.wmf"/><Relationship Id="rId50" Type="http://schemas.openxmlformats.org/officeDocument/2006/relationships/image" Target="media/image37.wmf"/><Relationship Id="rId55" Type="http://schemas.openxmlformats.org/officeDocument/2006/relationships/header" Target="header4.xml"/><Relationship Id="rId76"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image" Target="media/image52.wmf"/><Relationship Id="rId2" Type="http://schemas.openxmlformats.org/officeDocument/2006/relationships/numbering" Target="numbering.xml"/><Relationship Id="rId29" Type="http://schemas.openxmlformats.org/officeDocument/2006/relationships/image" Target="media/image2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D730B-B2E7-418D-9239-31E760B3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10817</Words>
  <Characters>61657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P Santikari</dc:creator>
  <cp:keywords/>
  <dc:description/>
  <cp:lastModifiedBy>Vijay P Santikari</cp:lastModifiedBy>
  <cp:revision>3</cp:revision>
  <cp:lastPrinted>2018-04-19T21:25:00Z</cp:lastPrinted>
  <dcterms:created xsi:type="dcterms:W3CDTF">2018-06-28T11:18:00Z</dcterms:created>
  <dcterms:modified xsi:type="dcterms:W3CDTF">2018-06-28T11:19:00Z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1358</vt:lpwstr>
  </property>
  <property fmtid="{D5CDD505-2E9C-101B-9397-08002B2CF9AE}" pid="3" name="WnCSubscriberId">
    <vt:lpwstr>4135</vt:lpwstr>
  </property>
  <property fmtid="{D5CDD505-2E9C-101B-9397-08002B2CF9AE}" pid="4" name="WnCOutputStyleId">
    <vt:lpwstr>10493</vt:lpwstr>
  </property>
  <property fmtid="{D5CDD505-2E9C-101B-9397-08002B2CF9AE}" pid="5" name="RWProductId">
    <vt:lpwstr>WnC</vt:lpwstr>
  </property>
  <property fmtid="{D5CDD505-2E9C-101B-9397-08002B2CF9AE}" pid="6" name="WnC4Folder">
    <vt:lpwstr>Documents///Manuscript CN-I Revised v2.4</vt:lpwstr>
  </property>
  <property fmtid="{D5CDD505-2E9C-101B-9397-08002B2CF9AE}" pid="7" name="MTEquationNumber2">
    <vt:lpwstr>(#E1)</vt:lpwstr>
  </property>
</Properties>
</file>