
<file path=[Content_Types].xml><?xml version="1.0" encoding="utf-8"?>
<Types xmlns="http://schemas.openxmlformats.org/package/2006/content-types">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C03F243" w14:textId="2A766E39" w:rsidR="007C1441" w:rsidRPr="00E22F3D" w:rsidRDefault="007C1441" w:rsidP="007C1441">
      <w:pPr>
        <w:pStyle w:val="MStitle"/>
        <w:rPr>
          <w:lang w:val="en-US"/>
        </w:rPr>
      </w:pPr>
      <w:r w:rsidRPr="00E22F3D">
        <w:rPr>
          <w:lang w:val="en-US"/>
        </w:rPr>
        <w:t xml:space="preserve">Supplement </w:t>
      </w:r>
      <w:r w:rsidR="00080063">
        <w:rPr>
          <w:lang w:val="en-US"/>
        </w:rPr>
        <w:t>of</w:t>
      </w:r>
      <w:r w:rsidRPr="00E22F3D">
        <w:rPr>
          <w:lang w:val="en-US"/>
        </w:rPr>
        <w:t>:</w:t>
      </w:r>
    </w:p>
    <w:p w14:paraId="4E71E242" w14:textId="3922B0A4" w:rsidR="007C1441" w:rsidRPr="00E22F3D" w:rsidRDefault="007C1441" w:rsidP="007C1441">
      <w:pPr>
        <w:pStyle w:val="Heading1"/>
        <w:rPr>
          <w:sz w:val="24"/>
          <w:lang w:val="en-US"/>
        </w:rPr>
      </w:pPr>
      <w:r w:rsidRPr="00E22F3D">
        <w:rPr>
          <w:sz w:val="24"/>
          <w:lang w:val="en-US"/>
        </w:rPr>
        <w:t xml:space="preserve">New water fractions and transit time distributions at Plynlimon, Wales, estimated from stable water isotopes in </w:t>
      </w:r>
      <w:r w:rsidR="00892328">
        <w:rPr>
          <w:sz w:val="24"/>
          <w:lang w:val="en-US"/>
        </w:rPr>
        <w:t>precipitation and streamflow</w:t>
      </w:r>
    </w:p>
    <w:p w14:paraId="0201E9BA" w14:textId="4F979580" w:rsidR="007C1441" w:rsidRPr="00201D75" w:rsidRDefault="007C1441" w:rsidP="007C1441">
      <w:pPr>
        <w:pStyle w:val="Authors"/>
        <w:rPr>
          <w:vertAlign w:val="superscript"/>
          <w:lang w:val="de-CH"/>
        </w:rPr>
      </w:pPr>
      <w:r w:rsidRPr="00201D75">
        <w:rPr>
          <w:lang w:val="de-CH"/>
        </w:rPr>
        <w:t>Julia L. A. Knapp</w:t>
      </w:r>
      <w:r w:rsidRPr="00201D75">
        <w:rPr>
          <w:vertAlign w:val="superscript"/>
          <w:lang w:val="de-CH"/>
        </w:rPr>
        <w:t>1</w:t>
      </w:r>
      <w:r w:rsidRPr="00201D75">
        <w:rPr>
          <w:lang w:val="de-CH"/>
        </w:rPr>
        <w:t>, Colin Neal</w:t>
      </w:r>
      <w:r w:rsidRPr="00201D75">
        <w:rPr>
          <w:vertAlign w:val="superscript"/>
          <w:lang w:val="de-CH"/>
        </w:rPr>
        <w:t>2</w:t>
      </w:r>
      <w:r w:rsidRPr="00201D75">
        <w:rPr>
          <w:lang w:val="de-CH"/>
        </w:rPr>
        <w:t>, Alessandro Schlumpf</w:t>
      </w:r>
      <w:r w:rsidRPr="00201D75">
        <w:rPr>
          <w:vertAlign w:val="superscript"/>
          <w:lang w:val="de-CH"/>
        </w:rPr>
        <w:t>3</w:t>
      </w:r>
      <w:r w:rsidRPr="00201D75">
        <w:rPr>
          <w:lang w:val="de-CH"/>
        </w:rPr>
        <w:t>, Margaret Neal</w:t>
      </w:r>
      <w:r w:rsidRPr="00201D75">
        <w:rPr>
          <w:vertAlign w:val="superscript"/>
          <w:lang w:val="de-CH"/>
        </w:rPr>
        <w:t>2</w:t>
      </w:r>
      <w:r w:rsidRPr="00201D75">
        <w:rPr>
          <w:lang w:val="de-CH"/>
        </w:rPr>
        <w:t xml:space="preserve">, </w:t>
      </w:r>
      <w:proofErr w:type="spellStart"/>
      <w:r w:rsidR="00892328">
        <w:rPr>
          <w:lang w:val="de-CH"/>
        </w:rPr>
        <w:t>and</w:t>
      </w:r>
      <w:proofErr w:type="spellEnd"/>
      <w:r w:rsidR="00892328">
        <w:rPr>
          <w:lang w:val="de-CH"/>
        </w:rPr>
        <w:t xml:space="preserve"> </w:t>
      </w:r>
      <w:r w:rsidRPr="00201D75">
        <w:rPr>
          <w:lang w:val="de-CH"/>
        </w:rPr>
        <w:t>James W. Kirchner</w:t>
      </w:r>
      <w:r w:rsidRPr="00201D75">
        <w:rPr>
          <w:vertAlign w:val="superscript"/>
          <w:lang w:val="de-CH"/>
        </w:rPr>
        <w:t>1,3,4</w:t>
      </w:r>
    </w:p>
    <w:p w14:paraId="1E703FB1" w14:textId="77777777" w:rsidR="007C1441" w:rsidRPr="00E22F3D" w:rsidRDefault="007C1441" w:rsidP="007C1441">
      <w:pPr>
        <w:pStyle w:val="Affiliation"/>
        <w:rPr>
          <w:lang w:val="en-US"/>
        </w:rPr>
      </w:pPr>
      <w:r w:rsidRPr="00E22F3D">
        <w:rPr>
          <w:vertAlign w:val="superscript"/>
          <w:lang w:val="en-US"/>
        </w:rPr>
        <w:t>1</w:t>
      </w:r>
      <w:r w:rsidRPr="00E22F3D">
        <w:rPr>
          <w:lang w:val="en-US"/>
        </w:rPr>
        <w:t>Department of Environmental Systems Science, ETH Zurich, 8092 Zurich, Switzerland</w:t>
      </w:r>
    </w:p>
    <w:p w14:paraId="534828D7" w14:textId="77777777" w:rsidR="007C1441" w:rsidRPr="00E22F3D" w:rsidRDefault="007C1441" w:rsidP="007C1441">
      <w:pPr>
        <w:pStyle w:val="Affiliation"/>
        <w:rPr>
          <w:lang w:val="en-US"/>
        </w:rPr>
      </w:pPr>
      <w:r w:rsidRPr="00E22F3D">
        <w:rPr>
          <w:vertAlign w:val="superscript"/>
          <w:lang w:val="en-US"/>
        </w:rPr>
        <w:t>2</w:t>
      </w:r>
      <w:r w:rsidRPr="00E22F3D">
        <w:rPr>
          <w:lang w:val="en-US"/>
        </w:rPr>
        <w:t>Centre for Ecology and Hydrology, Wallingford, OX10 8BB, UK</w:t>
      </w:r>
    </w:p>
    <w:p w14:paraId="1253B226" w14:textId="77777777" w:rsidR="007C1441" w:rsidRPr="00E22F3D" w:rsidRDefault="007C1441" w:rsidP="007C1441">
      <w:pPr>
        <w:pStyle w:val="Affiliation"/>
        <w:rPr>
          <w:lang w:val="en-US"/>
        </w:rPr>
      </w:pPr>
      <w:r w:rsidRPr="00E22F3D">
        <w:rPr>
          <w:vertAlign w:val="superscript"/>
          <w:lang w:val="en-US"/>
        </w:rPr>
        <w:t>3</w:t>
      </w:r>
      <w:r w:rsidRPr="00E22F3D">
        <w:rPr>
          <w:lang w:val="en-US"/>
        </w:rPr>
        <w:t xml:space="preserve">Swiss Federal Research Institute WSL, 8903 </w:t>
      </w:r>
      <w:proofErr w:type="spellStart"/>
      <w:r w:rsidRPr="00E22F3D">
        <w:rPr>
          <w:lang w:val="en-US"/>
        </w:rPr>
        <w:t>Birmensdorf</w:t>
      </w:r>
      <w:proofErr w:type="spellEnd"/>
      <w:r w:rsidRPr="00E22F3D">
        <w:rPr>
          <w:lang w:val="en-US"/>
        </w:rPr>
        <w:t>, Switzerland</w:t>
      </w:r>
    </w:p>
    <w:p w14:paraId="2FE620D1" w14:textId="77777777" w:rsidR="007C1441" w:rsidRPr="00E22F3D" w:rsidRDefault="007C1441" w:rsidP="007C1441">
      <w:pPr>
        <w:pStyle w:val="Affiliation"/>
        <w:rPr>
          <w:lang w:val="en-US"/>
        </w:rPr>
      </w:pPr>
      <w:r w:rsidRPr="00E22F3D">
        <w:rPr>
          <w:vertAlign w:val="superscript"/>
          <w:lang w:val="en-US"/>
        </w:rPr>
        <w:t>4</w:t>
      </w:r>
      <w:r w:rsidRPr="00E22F3D">
        <w:rPr>
          <w:lang w:val="en-US"/>
        </w:rPr>
        <w:t>Department of Earth and Planetary Science, University of California, Berkeley, CA 94720, USA</w:t>
      </w:r>
    </w:p>
    <w:p w14:paraId="0845C8C3" w14:textId="32C0E1AA" w:rsidR="00EF2956" w:rsidRDefault="007C1441" w:rsidP="007C1441">
      <w:pPr>
        <w:pStyle w:val="Correspondence"/>
        <w:rPr>
          <w:lang w:val="en-US"/>
        </w:rPr>
      </w:pPr>
      <w:r w:rsidRPr="00E22F3D">
        <w:rPr>
          <w:i/>
          <w:lang w:val="en-US"/>
        </w:rPr>
        <w:t>Correspondence to</w:t>
      </w:r>
      <w:r w:rsidRPr="00E22F3D">
        <w:rPr>
          <w:lang w:val="en-US"/>
        </w:rPr>
        <w:t>: Julia L.</w:t>
      </w:r>
      <w:r w:rsidR="00FB6DF2" w:rsidRPr="00E22F3D">
        <w:rPr>
          <w:lang w:val="en-US"/>
        </w:rPr>
        <w:t xml:space="preserve"> </w:t>
      </w:r>
      <w:r w:rsidRPr="00E22F3D">
        <w:rPr>
          <w:lang w:val="en-US"/>
        </w:rPr>
        <w:t>A. Knapp (</w:t>
      </w:r>
      <w:hyperlink r:id="rId8" w:history="1">
        <w:r w:rsidRPr="00E22F3D">
          <w:rPr>
            <w:rStyle w:val="Hyperlink"/>
            <w:lang w:val="en-US"/>
          </w:rPr>
          <w:t>julia.knapp@usys.ethz.ch</w:t>
        </w:r>
      </w:hyperlink>
      <w:r w:rsidRPr="00E22F3D">
        <w:rPr>
          <w:lang w:val="en-US"/>
        </w:rPr>
        <w:t>)</w:t>
      </w:r>
    </w:p>
    <w:p w14:paraId="490F7AF2" w14:textId="381A08F9" w:rsidR="003B0AF7" w:rsidRPr="00E22F3D" w:rsidRDefault="003B0AF7" w:rsidP="007C1441">
      <w:pPr>
        <w:pStyle w:val="Correspondence"/>
        <w:rPr>
          <w:lang w:val="en-US"/>
        </w:rPr>
      </w:pPr>
    </w:p>
    <w:p w14:paraId="78339297" w14:textId="77777777" w:rsidR="00EF2956" w:rsidRPr="00E22F3D" w:rsidRDefault="00EF2956" w:rsidP="00EF2956">
      <w:pPr>
        <w:pStyle w:val="Heading1"/>
        <w:rPr>
          <w:lang w:val="en-US"/>
        </w:rPr>
      </w:pPr>
      <w:r w:rsidRPr="00E22F3D">
        <w:rPr>
          <w:lang w:val="en-US"/>
        </w:rPr>
        <w:t>Data archive</w:t>
      </w:r>
    </w:p>
    <w:p w14:paraId="6D8B9C12" w14:textId="1EFB7C86" w:rsidR="00EF2956" w:rsidRPr="00E22F3D" w:rsidRDefault="00EF2956" w:rsidP="000E3C43">
      <w:pPr>
        <w:rPr>
          <w:lang w:val="en-US"/>
        </w:rPr>
      </w:pPr>
      <w:r w:rsidRPr="00E22F3D">
        <w:rPr>
          <w:lang w:val="en-US"/>
        </w:rPr>
        <w:t>The isotope data presen</w:t>
      </w:r>
      <w:r w:rsidR="00575A5C">
        <w:rPr>
          <w:lang w:val="en-US"/>
        </w:rPr>
        <w:t xml:space="preserve">ted here are publicly available. The data sets are attached to the accompanying manuscript as supplemental information, </w:t>
      </w:r>
      <w:r w:rsidR="00777991" w:rsidRPr="00E22F3D">
        <w:t xml:space="preserve">and </w:t>
      </w:r>
      <w:r w:rsidR="00777991">
        <w:t xml:space="preserve">are also be </w:t>
      </w:r>
      <w:r w:rsidR="00777991" w:rsidRPr="00E22F3D">
        <w:t xml:space="preserve">archived at </w:t>
      </w:r>
      <w:hyperlink r:id="rId9" w:history="1">
        <w:r w:rsidR="00777991" w:rsidRPr="004F69DB">
          <w:rPr>
            <w:rStyle w:val="Hyperlink"/>
          </w:rPr>
          <w:t>https://www.envidat.ch/en/dataset/water-isotopes-plynlimon</w:t>
        </w:r>
      </w:hyperlink>
      <w:r w:rsidR="00777991">
        <w:t xml:space="preserve"> (</w:t>
      </w:r>
      <w:proofErr w:type="spellStart"/>
      <w:r w:rsidR="00777991">
        <w:t>doi</w:t>
      </w:r>
      <w:proofErr w:type="spellEnd"/>
      <w:r w:rsidR="00777991">
        <w:t>: 10.16904/envidat.82)</w:t>
      </w:r>
      <w:bookmarkStart w:id="0" w:name="_GoBack"/>
      <w:bookmarkEnd w:id="0"/>
      <w:r w:rsidRPr="00743932">
        <w:rPr>
          <w:lang w:val="en-US"/>
        </w:rPr>
        <w:t>.</w:t>
      </w:r>
      <w:r w:rsidRPr="00E22F3D">
        <w:rPr>
          <w:lang w:val="en-US"/>
        </w:rPr>
        <w:t xml:space="preserve"> </w:t>
      </w:r>
    </w:p>
    <w:p w14:paraId="1FEF4A10" w14:textId="5F06D028" w:rsidR="00EF2956" w:rsidRPr="00E22F3D" w:rsidRDefault="00EF2956" w:rsidP="000E3C43">
      <w:pPr>
        <w:rPr>
          <w:lang w:val="en-US"/>
        </w:rPr>
      </w:pPr>
      <w:r w:rsidRPr="00E22F3D">
        <w:rPr>
          <w:lang w:val="en-US"/>
        </w:rPr>
        <w:t xml:space="preserve">The archived data include a raw data archive and quality-controlled data. The </w:t>
      </w:r>
      <w:r w:rsidR="0030269F">
        <w:rPr>
          <w:lang w:val="en-US"/>
        </w:rPr>
        <w:t>r</w:t>
      </w:r>
      <w:r w:rsidRPr="00E22F3D">
        <w:rPr>
          <w:lang w:val="en-US"/>
        </w:rPr>
        <w:t xml:space="preserve">aw </w:t>
      </w:r>
      <w:r w:rsidR="0030269F">
        <w:rPr>
          <w:lang w:val="en-US"/>
        </w:rPr>
        <w:t>d</w:t>
      </w:r>
      <w:r w:rsidRPr="00E22F3D">
        <w:rPr>
          <w:lang w:val="en-US"/>
        </w:rPr>
        <w:t xml:space="preserve">ata </w:t>
      </w:r>
      <w:r w:rsidR="0030269F">
        <w:rPr>
          <w:lang w:val="en-US"/>
        </w:rPr>
        <w:t>a</w:t>
      </w:r>
      <w:r w:rsidRPr="00E22F3D">
        <w:rPr>
          <w:lang w:val="en-US"/>
        </w:rPr>
        <w:t xml:space="preserve">rchive (denoted by column headers with "RDA" at the end of each variable name) contains the raw measurements as reported by the laboratory. This raw data archive is provided for completeness of documentation, and also in the interests of full transparency concerning data editing that has been subsequently applied. The raw data archive also provides the opportunity to go back to the original data in case new information emerges suggesting that interesting real-world phenomena may have been inadvertently edited out. However, </w:t>
      </w:r>
      <w:r w:rsidRPr="00575A5C">
        <w:rPr>
          <w:i/>
          <w:lang w:val="en-US"/>
        </w:rPr>
        <w:t>the raw data archive should not be used for routine analyses</w:t>
      </w:r>
      <w:r w:rsidRPr="00E22F3D">
        <w:rPr>
          <w:i/>
          <w:lang w:val="en-US"/>
        </w:rPr>
        <w:t>,</w:t>
      </w:r>
      <w:r w:rsidRPr="00E22F3D">
        <w:rPr>
          <w:lang w:val="en-US"/>
        </w:rPr>
        <w:t xml:space="preserve"> because the raw data include some values that are believed to be substantially in error. Instead, routine analyses should use the edited version of the data, where to the greatest extent possible, problematic data values have been corrected or excluded.</w:t>
      </w:r>
    </w:p>
    <w:p w14:paraId="7DEAC113" w14:textId="23506894" w:rsidR="00EF2956" w:rsidRPr="00E22F3D" w:rsidRDefault="00EF2956" w:rsidP="00EF2956">
      <w:pPr>
        <w:pStyle w:val="Heading1"/>
        <w:rPr>
          <w:lang w:val="en-US"/>
        </w:rPr>
      </w:pPr>
      <w:r w:rsidRPr="00E22F3D">
        <w:rPr>
          <w:lang w:val="en-US"/>
        </w:rPr>
        <w:t>Sample analysis</w:t>
      </w:r>
      <w:r w:rsidR="00575A5C">
        <w:rPr>
          <w:lang w:val="en-US"/>
        </w:rPr>
        <w:t xml:space="preserve"> and calibration</w:t>
      </w:r>
    </w:p>
    <w:p w14:paraId="31FDE65F" w14:textId="39EAC7CD" w:rsidR="00EF2956" w:rsidRPr="00E22F3D" w:rsidRDefault="00EF2956" w:rsidP="000E3C43">
      <w:pPr>
        <w:rPr>
          <w:lang w:val="en-US"/>
        </w:rPr>
      </w:pPr>
      <w:r w:rsidRPr="00E22F3D">
        <w:rPr>
          <w:lang w:val="en-US"/>
        </w:rPr>
        <w:t xml:space="preserve">The samples were analyzed for oxygen-18 and deuterium isotope ratios using a </w:t>
      </w:r>
      <w:proofErr w:type="spellStart"/>
      <w:r w:rsidRPr="00E22F3D">
        <w:rPr>
          <w:lang w:val="en-US"/>
        </w:rPr>
        <w:t>Picarro</w:t>
      </w:r>
      <w:proofErr w:type="spellEnd"/>
      <w:r w:rsidRPr="00E22F3D">
        <w:rPr>
          <w:lang w:val="en-US"/>
        </w:rPr>
        <w:t xml:space="preserve"> L1102-i cavity ring-down spectrometer (</w:t>
      </w:r>
      <w:proofErr w:type="spellStart"/>
      <w:r w:rsidRPr="00E22F3D">
        <w:rPr>
          <w:lang w:val="en-US"/>
        </w:rPr>
        <w:t>Picarro</w:t>
      </w:r>
      <w:proofErr w:type="spellEnd"/>
      <w:r w:rsidRPr="00E22F3D">
        <w:rPr>
          <w:lang w:val="en-US"/>
        </w:rPr>
        <w:t xml:space="preserve">, Inc., Sunnyvale, CA, USA) equipped with a </w:t>
      </w:r>
      <w:proofErr w:type="spellStart"/>
      <w:r w:rsidRPr="00E22F3D">
        <w:rPr>
          <w:lang w:val="en-US"/>
        </w:rPr>
        <w:t>Picarro</w:t>
      </w:r>
      <w:proofErr w:type="spellEnd"/>
      <w:r w:rsidRPr="00E22F3D">
        <w:rPr>
          <w:lang w:val="en-US"/>
        </w:rPr>
        <w:t xml:space="preserve"> V1102-i vaporization module and a PAL HTC-</w:t>
      </w:r>
      <w:proofErr w:type="spellStart"/>
      <w:r w:rsidRPr="00E22F3D">
        <w:rPr>
          <w:lang w:val="en-US"/>
        </w:rPr>
        <w:t>xt</w:t>
      </w:r>
      <w:proofErr w:type="spellEnd"/>
      <w:r w:rsidRPr="00E22F3D">
        <w:rPr>
          <w:lang w:val="en-US"/>
        </w:rPr>
        <w:t xml:space="preserve">-LEAP-Pic autosampler (CTC Analytics AG, </w:t>
      </w:r>
      <w:proofErr w:type="spellStart"/>
      <w:r w:rsidRPr="00E22F3D">
        <w:rPr>
          <w:lang w:val="en-US"/>
        </w:rPr>
        <w:t>Zwingen</w:t>
      </w:r>
      <w:proofErr w:type="spellEnd"/>
      <w:r w:rsidRPr="00E22F3D">
        <w:rPr>
          <w:lang w:val="en-US"/>
        </w:rPr>
        <w:t>, Switzerland). Routine calibrations used three secondary standards (mixed seawater, Fiji artesian water, and Sion drinking water), which in turn were referenced to IAEA VSMOW2, SLAP2, and GISP. Samples were analyzed in blocks of roughly 50 samples, with calibration series immediately preceding and following each block. Each calibration standard was injected twice, with only the results from the second injection being used in order to minimize carryover effects, in view of the large isotopic differences among the standards. The calibration values before and after each block were averaged together, and used to construct a three-point calibration line that was applied to all the analyses within the block.</w:t>
      </w:r>
    </w:p>
    <w:p w14:paraId="7EFFC974" w14:textId="77777777" w:rsidR="009C0974" w:rsidRPr="00E22F3D" w:rsidRDefault="009C0974" w:rsidP="000E3C43">
      <w:pPr>
        <w:rPr>
          <w:lang w:val="en-US"/>
        </w:rPr>
      </w:pPr>
    </w:p>
    <w:p w14:paraId="747B96B6" w14:textId="04635B5B" w:rsidR="005F4B85" w:rsidRPr="00E22F3D" w:rsidRDefault="00EF2956" w:rsidP="000E3C43">
      <w:pPr>
        <w:rPr>
          <w:lang w:val="en-US"/>
        </w:rPr>
      </w:pPr>
      <w:r w:rsidRPr="00E22F3D">
        <w:rPr>
          <w:lang w:val="en-US"/>
        </w:rPr>
        <w:t xml:space="preserve">Each analysis did not include multiple sequential injections of individual samples, as are commonly used to minimize carryover effects in CRDS analyses. Instead, each block was analyzed in sequence, with each sample injected just once. Each block consisted of only streamwater samples or only precipitation samples, to minimize carryover effects from the highly variable precipitation values to the much more stable streamwater values. The streamwater and precipitation samples within each block </w:t>
      </w:r>
      <w:r w:rsidRPr="00E22F3D">
        <w:rPr>
          <w:lang w:val="en-US"/>
        </w:rPr>
        <w:lastRenderedPageBreak/>
        <w:t xml:space="preserve">were </w:t>
      </w:r>
      <w:r w:rsidR="00892328">
        <w:rPr>
          <w:lang w:val="en-US"/>
        </w:rPr>
        <w:t>arranged in chronological order</w:t>
      </w:r>
      <w:r w:rsidRPr="00E22F3D">
        <w:rPr>
          <w:lang w:val="en-US"/>
        </w:rPr>
        <w:t xml:space="preserve"> to further minimize carryover effects. </w:t>
      </w:r>
      <w:r w:rsidR="00575A5C" w:rsidRPr="00E22F3D">
        <w:rPr>
          <w:lang w:val="en-US"/>
        </w:rPr>
        <w:t>Each block of samples was re-run, separated by at least two other sample blocks. Thus each sample was analyzed twice, separated by at least 100 other samples and standards, and the reported value for each sample is the average of the pair. Any pair that differed by more than 0.20</w:t>
      </w:r>
      <w:r w:rsidR="00575A5C">
        <w:rPr>
          <w:lang w:val="en-US"/>
        </w:rPr>
        <w:t xml:space="preserve"> </w:t>
      </w:r>
      <w:r w:rsidR="00575A5C" w:rsidRPr="00E22F3D">
        <w:rPr>
          <w:lang w:val="en-US"/>
        </w:rPr>
        <w:t>‰ in oxygen-18 or 1.0</w:t>
      </w:r>
      <w:r w:rsidR="00575A5C">
        <w:rPr>
          <w:lang w:val="en-US"/>
        </w:rPr>
        <w:t xml:space="preserve"> </w:t>
      </w:r>
      <w:r w:rsidR="00575A5C" w:rsidRPr="00E22F3D">
        <w:rPr>
          <w:lang w:val="en-US"/>
        </w:rPr>
        <w:t>‰ in deuterium was re-analyzed (again twice), and whichever of the two pairs was more consistent was averaged for the final reported value.</w:t>
      </w:r>
    </w:p>
    <w:p w14:paraId="2CF00A85" w14:textId="77777777" w:rsidR="009C0974" w:rsidRPr="00E22F3D" w:rsidRDefault="009C0974" w:rsidP="000E3C43">
      <w:pPr>
        <w:rPr>
          <w:lang w:val="en-US"/>
        </w:rPr>
      </w:pPr>
    </w:p>
    <w:p w14:paraId="4451B9E8" w14:textId="4B4EE824" w:rsidR="00EF2956" w:rsidRDefault="00EF2956" w:rsidP="000E3C43">
      <w:pPr>
        <w:rPr>
          <w:lang w:val="en-US"/>
        </w:rPr>
      </w:pPr>
      <w:r w:rsidRPr="00E22F3D">
        <w:rPr>
          <w:lang w:val="en-US"/>
        </w:rPr>
        <w:t>The likely magnitude</w:t>
      </w:r>
      <w:r w:rsidR="00892328">
        <w:rPr>
          <w:lang w:val="en-US"/>
        </w:rPr>
        <w:t>s</w:t>
      </w:r>
      <w:r w:rsidRPr="00E22F3D">
        <w:rPr>
          <w:lang w:val="en-US"/>
        </w:rPr>
        <w:t xml:space="preserve"> of </w:t>
      </w:r>
      <w:r w:rsidR="005F4B85" w:rsidRPr="00E22F3D">
        <w:rPr>
          <w:lang w:val="en-US"/>
        </w:rPr>
        <w:t>memory</w:t>
      </w:r>
      <w:r w:rsidRPr="00E22F3D">
        <w:rPr>
          <w:lang w:val="en-US"/>
        </w:rPr>
        <w:t xml:space="preserve"> effects from single injections were estimated from long runs of the calibration standards, and averaged 2.4</w:t>
      </w:r>
      <w:r w:rsidR="0030269F">
        <w:rPr>
          <w:lang w:val="en-US"/>
        </w:rPr>
        <w:t xml:space="preserve"> </w:t>
      </w:r>
      <w:r w:rsidRPr="00E22F3D">
        <w:rPr>
          <w:lang w:val="en-US"/>
        </w:rPr>
        <w:t>% for oxygen-18 and 6.6</w:t>
      </w:r>
      <w:r w:rsidR="0030269F">
        <w:rPr>
          <w:lang w:val="en-US"/>
        </w:rPr>
        <w:t xml:space="preserve"> </w:t>
      </w:r>
      <w:r w:rsidRPr="00E22F3D">
        <w:rPr>
          <w:lang w:val="en-US"/>
        </w:rPr>
        <w:t xml:space="preserve">% for deuterium (expressed as a percentage of the sample-to-sample change in isotope ratios). </w:t>
      </w:r>
    </w:p>
    <w:p w14:paraId="15394321" w14:textId="17F311B5" w:rsidR="00575A5C" w:rsidRDefault="00575A5C" w:rsidP="000E3C43">
      <w:pPr>
        <w:rPr>
          <w:lang w:val="en-US"/>
        </w:rPr>
      </w:pPr>
    </w:p>
    <w:p w14:paraId="7D5858C5" w14:textId="77777777" w:rsidR="00575A5C" w:rsidRPr="00E22F3D" w:rsidRDefault="00575A5C" w:rsidP="00575A5C">
      <w:pPr>
        <w:pStyle w:val="Heading1"/>
        <w:rPr>
          <w:lang w:val="en-US"/>
        </w:rPr>
      </w:pPr>
      <w:r w:rsidRPr="00E22F3D">
        <w:rPr>
          <w:lang w:val="en-US"/>
        </w:rPr>
        <w:t>Drift and reproducibility of measurements</w:t>
      </w:r>
    </w:p>
    <w:p w14:paraId="4152712E" w14:textId="77777777" w:rsidR="00575A5C" w:rsidRPr="00E22F3D" w:rsidRDefault="00575A5C" w:rsidP="00575A5C">
      <w:pPr>
        <w:rPr>
          <w:lang w:val="en-US"/>
        </w:rPr>
      </w:pPr>
      <w:r w:rsidRPr="00E22F3D">
        <w:rPr>
          <w:lang w:val="en-US"/>
        </w:rPr>
        <w:t>To check for drift and reproducibility, we analyzed a single standard 124 times in a continuous 18-hour run, without calibration. Rates of drift were 0.008</w:t>
      </w:r>
      <w:r>
        <w:rPr>
          <w:lang w:val="en-US"/>
        </w:rPr>
        <w:t xml:space="preserve"> </w:t>
      </w:r>
      <w:r w:rsidRPr="00E22F3D">
        <w:rPr>
          <w:lang w:val="en-US"/>
        </w:rPr>
        <w:t>‰ per hour and 0.02</w:t>
      </w:r>
      <w:r>
        <w:rPr>
          <w:lang w:val="en-US"/>
        </w:rPr>
        <w:t xml:space="preserve"> </w:t>
      </w:r>
      <w:r w:rsidRPr="00E22F3D">
        <w:rPr>
          <w:lang w:val="en-US"/>
        </w:rPr>
        <w:t>‰ per hour for oxygen-18 and deuterium, respectively. The mean absolute deviations between pairs of sequential analyses were 0.048</w:t>
      </w:r>
      <w:r>
        <w:rPr>
          <w:lang w:val="en-US"/>
        </w:rPr>
        <w:t xml:space="preserve"> </w:t>
      </w:r>
      <w:r w:rsidRPr="00E22F3D">
        <w:rPr>
          <w:lang w:val="en-US"/>
        </w:rPr>
        <w:t>‰ and 0.17</w:t>
      </w:r>
      <w:r>
        <w:rPr>
          <w:lang w:val="en-US"/>
        </w:rPr>
        <w:t xml:space="preserve"> </w:t>
      </w:r>
      <w:r w:rsidRPr="00E22F3D">
        <w:rPr>
          <w:lang w:val="en-US"/>
        </w:rPr>
        <w:t>‰ for oxygen-18 and deuterium, respectively, and the 90</w:t>
      </w:r>
      <w:r w:rsidRPr="00E22F3D">
        <w:rPr>
          <w:vertAlign w:val="superscript"/>
          <w:lang w:val="en-US"/>
        </w:rPr>
        <w:t>th</w:t>
      </w:r>
      <w:r w:rsidRPr="00E22F3D">
        <w:rPr>
          <w:lang w:val="en-US"/>
        </w:rPr>
        <w:t xml:space="preserve"> percentiles of the absolute deviations were 0.104</w:t>
      </w:r>
      <w:r>
        <w:rPr>
          <w:lang w:val="en-US"/>
        </w:rPr>
        <w:t xml:space="preserve"> </w:t>
      </w:r>
      <w:r w:rsidRPr="00E22F3D">
        <w:rPr>
          <w:lang w:val="en-US"/>
        </w:rPr>
        <w:t>‰ and 0.32</w:t>
      </w:r>
      <w:r>
        <w:rPr>
          <w:lang w:val="en-US"/>
        </w:rPr>
        <w:t xml:space="preserve"> </w:t>
      </w:r>
      <w:r w:rsidRPr="00E22F3D">
        <w:rPr>
          <w:lang w:val="en-US"/>
        </w:rPr>
        <w:t xml:space="preserve">‰ for oxygen-18 and deuterium, respectively. </w:t>
      </w:r>
    </w:p>
    <w:p w14:paraId="12CCD60B" w14:textId="77777777" w:rsidR="00575A5C" w:rsidRPr="00E22F3D" w:rsidRDefault="00575A5C" w:rsidP="00575A5C">
      <w:pPr>
        <w:rPr>
          <w:lang w:val="en-US"/>
        </w:rPr>
      </w:pPr>
    </w:p>
    <w:p w14:paraId="573C1FCA" w14:textId="77777777" w:rsidR="00575A5C" w:rsidRPr="00E22F3D" w:rsidRDefault="00575A5C" w:rsidP="00575A5C">
      <w:pPr>
        <w:rPr>
          <w:lang w:val="en-US"/>
        </w:rPr>
      </w:pPr>
      <w:r w:rsidRPr="00E22F3D">
        <w:rPr>
          <w:lang w:val="en-US"/>
        </w:rPr>
        <w:t>For comparison, in the real-world stream water samples, the absolute deviations between pairs of sequential analyses averaged 0.161</w:t>
      </w:r>
      <w:r>
        <w:rPr>
          <w:lang w:val="en-US"/>
        </w:rPr>
        <w:t xml:space="preserve"> </w:t>
      </w:r>
      <w:r w:rsidRPr="00E22F3D">
        <w:rPr>
          <w:lang w:val="en-US"/>
        </w:rPr>
        <w:t>‰ and 0.667</w:t>
      </w:r>
      <w:r>
        <w:rPr>
          <w:lang w:val="en-US"/>
        </w:rPr>
        <w:t xml:space="preserve"> </w:t>
      </w:r>
      <w:r w:rsidRPr="00E22F3D">
        <w:rPr>
          <w:lang w:val="en-US"/>
        </w:rPr>
        <w:t>‰ for oxygen-18 and deuterium, respectively, or nearly four times the average sample-to-sample deviations among replicates. The absolute deviations between pairs of rainwater samples were larger still, averaging 1.68</w:t>
      </w:r>
      <w:r>
        <w:rPr>
          <w:lang w:val="en-US"/>
        </w:rPr>
        <w:t xml:space="preserve"> </w:t>
      </w:r>
      <w:r w:rsidRPr="00E22F3D">
        <w:rPr>
          <w:lang w:val="en-US"/>
        </w:rPr>
        <w:t>‰ and 13.3</w:t>
      </w:r>
      <w:r>
        <w:rPr>
          <w:lang w:val="en-US"/>
        </w:rPr>
        <w:t xml:space="preserve"> </w:t>
      </w:r>
      <w:r w:rsidRPr="00E22F3D">
        <w:rPr>
          <w:lang w:val="en-US"/>
        </w:rPr>
        <w:t>‰ for oxygen-18 and deuterium, respectively. These results indicate that analytical noise accounts for only a small fraction of the variability in the Plynlimon isotope time series.</w:t>
      </w:r>
    </w:p>
    <w:p w14:paraId="62FAFE34" w14:textId="77777777" w:rsidR="00575A5C" w:rsidRPr="00E22F3D" w:rsidRDefault="00575A5C" w:rsidP="000E3C43">
      <w:pPr>
        <w:rPr>
          <w:lang w:val="en-US"/>
        </w:rPr>
      </w:pPr>
    </w:p>
    <w:p w14:paraId="0E55C171" w14:textId="014C46F0" w:rsidR="00EF2956" w:rsidRPr="00E22F3D" w:rsidRDefault="00EF2956" w:rsidP="00EF2956">
      <w:pPr>
        <w:pStyle w:val="Heading1"/>
        <w:rPr>
          <w:lang w:val="en-US"/>
        </w:rPr>
      </w:pPr>
      <w:r w:rsidRPr="00E22F3D">
        <w:rPr>
          <w:lang w:val="en-US"/>
        </w:rPr>
        <w:t xml:space="preserve">Comparison of </w:t>
      </w:r>
      <w:r w:rsidR="00E22F3D">
        <w:rPr>
          <w:lang w:val="en-US"/>
        </w:rPr>
        <w:t>CRDS</w:t>
      </w:r>
      <w:r w:rsidRPr="00E22F3D">
        <w:rPr>
          <w:lang w:val="en-US"/>
        </w:rPr>
        <w:t xml:space="preserve"> and IRMS measurements</w:t>
      </w:r>
    </w:p>
    <w:p w14:paraId="0AEABC75" w14:textId="462ACBAA" w:rsidR="00EF2956" w:rsidRPr="00E22F3D" w:rsidRDefault="0030269F" w:rsidP="000E3C43">
      <w:pPr>
        <w:rPr>
          <w:lang w:val="en-US"/>
        </w:rPr>
      </w:pPr>
      <w:r>
        <w:rPr>
          <w:lang w:val="en-US"/>
        </w:rPr>
        <w:t xml:space="preserve">The </w:t>
      </w:r>
      <w:r w:rsidR="00575A5C">
        <w:rPr>
          <w:lang w:val="en-US"/>
        </w:rPr>
        <w:t>c</w:t>
      </w:r>
      <w:r>
        <w:rPr>
          <w:lang w:val="en-US"/>
        </w:rPr>
        <w:t xml:space="preserve">avity </w:t>
      </w:r>
      <w:r w:rsidR="00575A5C">
        <w:rPr>
          <w:lang w:val="en-US"/>
        </w:rPr>
        <w:t>r</w:t>
      </w:r>
      <w:r>
        <w:rPr>
          <w:lang w:val="en-US"/>
        </w:rPr>
        <w:t>ing</w:t>
      </w:r>
      <w:r w:rsidR="00575A5C">
        <w:rPr>
          <w:lang w:val="en-US"/>
        </w:rPr>
        <w:t>-d</w:t>
      </w:r>
      <w:r>
        <w:rPr>
          <w:lang w:val="en-US"/>
        </w:rPr>
        <w:t xml:space="preserve">own </w:t>
      </w:r>
      <w:r w:rsidR="00575A5C">
        <w:rPr>
          <w:lang w:val="en-US"/>
        </w:rPr>
        <w:t>s</w:t>
      </w:r>
      <w:r>
        <w:rPr>
          <w:lang w:val="en-US"/>
        </w:rPr>
        <w:t xml:space="preserve">pectroscopy (CRDS) measurement results of </w:t>
      </w:r>
      <w:r w:rsidR="00EF2956" w:rsidRPr="00E22F3D">
        <w:rPr>
          <w:lang w:val="en-US"/>
        </w:rPr>
        <w:t xml:space="preserve">41 streamwater samples were cross-checked with independent analyses by </w:t>
      </w:r>
      <w:r w:rsidR="00575A5C">
        <w:rPr>
          <w:lang w:val="en-US"/>
        </w:rPr>
        <w:t>i</w:t>
      </w:r>
      <w:r w:rsidR="00EF2956" w:rsidRPr="00E22F3D">
        <w:rPr>
          <w:lang w:val="en-US"/>
        </w:rPr>
        <w:t xml:space="preserve">sotope </w:t>
      </w:r>
      <w:r w:rsidR="00575A5C">
        <w:rPr>
          <w:lang w:val="en-US"/>
        </w:rPr>
        <w:t>r</w:t>
      </w:r>
      <w:r w:rsidR="00EF2956" w:rsidRPr="00E22F3D">
        <w:rPr>
          <w:lang w:val="en-US"/>
        </w:rPr>
        <w:t xml:space="preserve">atio </w:t>
      </w:r>
      <w:r w:rsidR="00575A5C">
        <w:rPr>
          <w:lang w:val="en-US"/>
        </w:rPr>
        <w:t>m</w:t>
      </w:r>
      <w:r w:rsidR="00EF2956" w:rsidRPr="00E22F3D">
        <w:rPr>
          <w:lang w:val="en-US"/>
        </w:rPr>
        <w:t xml:space="preserve">ass </w:t>
      </w:r>
      <w:r w:rsidR="00575A5C">
        <w:rPr>
          <w:lang w:val="en-US"/>
        </w:rPr>
        <w:t>s</w:t>
      </w:r>
      <w:r w:rsidR="00EF2956" w:rsidRPr="00E22F3D">
        <w:rPr>
          <w:lang w:val="en-US"/>
        </w:rPr>
        <w:t>pectrometry</w:t>
      </w:r>
      <w:r w:rsidR="00E22F3D">
        <w:rPr>
          <w:lang w:val="en-US"/>
        </w:rPr>
        <w:t xml:space="preserve"> (IRMS</w:t>
      </w:r>
      <w:r w:rsidR="00EF2956" w:rsidRPr="00E22F3D">
        <w:rPr>
          <w:lang w:val="en-US"/>
        </w:rPr>
        <w:t xml:space="preserve">). The mean values and standard deviations of the oxygen-18 values for the set of samples analyzed by both </w:t>
      </w:r>
      <w:r>
        <w:rPr>
          <w:lang w:val="en-US"/>
        </w:rPr>
        <w:t>CRDS</w:t>
      </w:r>
      <w:r w:rsidR="00EF2956" w:rsidRPr="00E22F3D">
        <w:rPr>
          <w:lang w:val="en-US"/>
        </w:rPr>
        <w:t xml:space="preserve"> and IRMS were -6.24 </w:t>
      </w:r>
      <w:r w:rsidR="00EF2956" w:rsidRPr="00E22F3D">
        <w:rPr>
          <w:rFonts w:cstheme="minorHAnsi"/>
          <w:lang w:val="en-US"/>
        </w:rPr>
        <w:t>±</w:t>
      </w:r>
      <w:r w:rsidR="00EF2956" w:rsidRPr="00E22F3D">
        <w:rPr>
          <w:lang w:val="en-US"/>
        </w:rPr>
        <w:t xml:space="preserve"> 0.14 ‰ and -6.52 </w:t>
      </w:r>
      <w:r w:rsidR="00EF2956" w:rsidRPr="00E22F3D">
        <w:rPr>
          <w:rFonts w:cstheme="minorHAnsi"/>
          <w:lang w:val="en-US"/>
        </w:rPr>
        <w:t>±</w:t>
      </w:r>
      <w:r w:rsidR="00EF2956" w:rsidRPr="00E22F3D">
        <w:rPr>
          <w:lang w:val="en-US"/>
        </w:rPr>
        <w:t xml:space="preserve"> 0.11 ‰ for measurements with the CRDS and IRMS, respectively. These analyses are plotted in</w:t>
      </w:r>
      <w:r w:rsidR="005F4B85" w:rsidRPr="00E22F3D">
        <w:rPr>
          <w:lang w:val="en-US"/>
        </w:rPr>
        <w:t xml:space="preserve"> Fig. S</w:t>
      </w:r>
      <w:r w:rsidR="002825FF">
        <w:rPr>
          <w:lang w:val="en-US"/>
        </w:rPr>
        <w:t>1</w:t>
      </w:r>
      <w:r w:rsidR="00EF2956" w:rsidRPr="00E22F3D">
        <w:rPr>
          <w:lang w:val="en-US"/>
        </w:rPr>
        <w:t>.</w:t>
      </w:r>
    </w:p>
    <w:p w14:paraId="6A4C9504" w14:textId="77777777" w:rsidR="00EF2956" w:rsidRPr="00E22F3D" w:rsidRDefault="00EF2956" w:rsidP="00EF2956">
      <w:pPr>
        <w:pStyle w:val="NormalSI"/>
      </w:pPr>
    </w:p>
    <w:p w14:paraId="16FDA35B" w14:textId="7FA18F82" w:rsidR="00EF2956" w:rsidRPr="00E22F3D" w:rsidRDefault="00EF2956" w:rsidP="009771D0">
      <w:pPr>
        <w:pStyle w:val="Figure"/>
        <w:rPr>
          <w:lang w:val="en-US"/>
        </w:rPr>
      </w:pPr>
      <w:r w:rsidRPr="00E22F3D">
        <w:drawing>
          <wp:inline distT="0" distB="0" distL="0" distR="0" wp14:anchorId="25CEF411" wp14:editId="4B9E449C">
            <wp:extent cx="3918948" cy="1571281"/>
            <wp:effectExtent l="0" t="0" r="571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RMS_picarro_SI.png"/>
                    <pic:cNvPicPr/>
                  </pic:nvPicPr>
                  <pic:blipFill>
                    <a:blip r:embed="rId10">
                      <a:extLst>
                        <a:ext uri="{28A0092B-C50C-407E-A947-70E740481C1C}">
                          <a14:useLocalDpi xmlns:a14="http://schemas.microsoft.com/office/drawing/2010/main" val="0"/>
                        </a:ext>
                      </a:extLst>
                    </a:blip>
                    <a:stretch>
                      <a:fillRect/>
                    </a:stretch>
                  </pic:blipFill>
                  <pic:spPr>
                    <a:xfrm>
                      <a:off x="0" y="0"/>
                      <a:ext cx="3918948" cy="1571281"/>
                    </a:xfrm>
                    <a:prstGeom prst="rect">
                      <a:avLst/>
                    </a:prstGeom>
                  </pic:spPr>
                </pic:pic>
              </a:graphicData>
            </a:graphic>
          </wp:inline>
        </w:drawing>
      </w:r>
    </w:p>
    <w:p w14:paraId="2E0C9C32" w14:textId="27A24076" w:rsidR="0030269F" w:rsidRDefault="00EF2956" w:rsidP="002825FF">
      <w:pPr>
        <w:pStyle w:val="Caption"/>
        <w:rPr>
          <w:lang w:val="en-US"/>
        </w:rPr>
      </w:pPr>
      <w:r w:rsidRPr="00E22F3D">
        <w:rPr>
          <w:lang w:val="en-US"/>
        </w:rPr>
        <w:t>Figure</w:t>
      </w:r>
      <w:r w:rsidR="005F4B85" w:rsidRPr="00E22F3D">
        <w:rPr>
          <w:lang w:val="en-US"/>
        </w:rPr>
        <w:t xml:space="preserve"> S</w:t>
      </w:r>
      <w:r w:rsidR="002825FF">
        <w:rPr>
          <w:lang w:val="en-US"/>
        </w:rPr>
        <w:t>1</w:t>
      </w:r>
      <w:r w:rsidRPr="00E22F3D">
        <w:rPr>
          <w:lang w:val="en-US"/>
        </w:rPr>
        <w:t>: Comparison of measurements with IRMS (</w:t>
      </w:r>
      <w:r w:rsidR="002825FF">
        <w:rPr>
          <w:lang w:val="en-US"/>
        </w:rPr>
        <w:t>i</w:t>
      </w:r>
      <w:r w:rsidRPr="00E22F3D">
        <w:rPr>
          <w:lang w:val="en-US"/>
        </w:rPr>
        <w:t xml:space="preserve">sotope </w:t>
      </w:r>
      <w:r w:rsidR="002825FF">
        <w:rPr>
          <w:lang w:val="en-US"/>
        </w:rPr>
        <w:t>r</w:t>
      </w:r>
      <w:r w:rsidRPr="00E22F3D">
        <w:rPr>
          <w:lang w:val="en-US"/>
        </w:rPr>
        <w:t xml:space="preserve">atio </w:t>
      </w:r>
      <w:r w:rsidR="002825FF">
        <w:rPr>
          <w:lang w:val="en-US"/>
        </w:rPr>
        <w:t>m</w:t>
      </w:r>
      <w:r w:rsidRPr="00E22F3D">
        <w:rPr>
          <w:lang w:val="en-US"/>
        </w:rPr>
        <w:t xml:space="preserve">ass </w:t>
      </w:r>
      <w:r w:rsidR="002825FF">
        <w:rPr>
          <w:lang w:val="en-US"/>
        </w:rPr>
        <w:t>s</w:t>
      </w:r>
      <w:r w:rsidRPr="00E22F3D">
        <w:rPr>
          <w:lang w:val="en-US"/>
        </w:rPr>
        <w:t>pectrometry) and CRDS (</w:t>
      </w:r>
      <w:r w:rsidR="002825FF">
        <w:rPr>
          <w:lang w:val="en-US"/>
        </w:rPr>
        <w:t>cavity r</w:t>
      </w:r>
      <w:r w:rsidRPr="00E22F3D">
        <w:rPr>
          <w:lang w:val="en-US"/>
        </w:rPr>
        <w:t>ing</w:t>
      </w:r>
      <w:r w:rsidR="002825FF">
        <w:rPr>
          <w:lang w:val="en-US"/>
        </w:rPr>
        <w:t>-d</w:t>
      </w:r>
      <w:r w:rsidRPr="00E22F3D">
        <w:rPr>
          <w:lang w:val="en-US"/>
        </w:rPr>
        <w:t xml:space="preserve">own </w:t>
      </w:r>
      <w:r w:rsidR="002825FF">
        <w:rPr>
          <w:lang w:val="en-US"/>
        </w:rPr>
        <w:t>s</w:t>
      </w:r>
      <w:r w:rsidRPr="00E22F3D">
        <w:rPr>
          <w:lang w:val="en-US"/>
        </w:rPr>
        <w:t xml:space="preserve">pectroscopy) for 41 streamwater samples. </w:t>
      </w:r>
    </w:p>
    <w:p w14:paraId="0D49DAA3" w14:textId="77777777" w:rsidR="00EF2956" w:rsidRPr="00E22F3D" w:rsidRDefault="00EF2956" w:rsidP="00EF2956">
      <w:pPr>
        <w:pStyle w:val="Heading1"/>
        <w:rPr>
          <w:lang w:val="en-US"/>
        </w:rPr>
      </w:pPr>
      <w:r w:rsidRPr="00E22F3D">
        <w:rPr>
          <w:lang w:val="en-US"/>
        </w:rPr>
        <w:lastRenderedPageBreak/>
        <w:t>Effect of sample acidification</w:t>
      </w:r>
    </w:p>
    <w:p w14:paraId="6555529D" w14:textId="5D785C57" w:rsidR="00EF2956" w:rsidRPr="00E22F3D" w:rsidRDefault="00EF2956" w:rsidP="000E3C43">
      <w:pPr>
        <w:rPr>
          <w:lang w:val="en-US"/>
        </w:rPr>
      </w:pPr>
      <w:r w:rsidRPr="00E22F3D">
        <w:rPr>
          <w:lang w:val="en-US"/>
        </w:rPr>
        <w:t xml:space="preserve">Samples were split in the laboratory, and one of the aliquots was acidified for analysis of trace metals. Usually the sample for isotope analysis was taken from the un-acidified split, but in some cases it was taken from the acidified split by mistake. This occurred with 7-hourly streamwater samples from </w:t>
      </w:r>
      <w:r w:rsidR="0030269F">
        <w:rPr>
          <w:lang w:val="en-US"/>
        </w:rPr>
        <w:t xml:space="preserve">10 </w:t>
      </w:r>
      <w:r w:rsidRPr="00E22F3D">
        <w:rPr>
          <w:lang w:val="en-US"/>
        </w:rPr>
        <w:t>July to</w:t>
      </w:r>
      <w:r w:rsidR="0030269F">
        <w:rPr>
          <w:lang w:val="en-US"/>
        </w:rPr>
        <w:t xml:space="preserve"> 4</w:t>
      </w:r>
      <w:r w:rsidRPr="00E22F3D">
        <w:rPr>
          <w:lang w:val="en-US"/>
        </w:rPr>
        <w:t xml:space="preserve"> December 2007, and with precipitation samples from</w:t>
      </w:r>
      <w:r w:rsidR="0030269F">
        <w:rPr>
          <w:lang w:val="en-US"/>
        </w:rPr>
        <w:t xml:space="preserve"> 5</w:t>
      </w:r>
      <w:r w:rsidRPr="00E22F3D">
        <w:rPr>
          <w:lang w:val="en-US"/>
        </w:rPr>
        <w:t xml:space="preserve"> November to</w:t>
      </w:r>
      <w:r w:rsidR="0030269F">
        <w:rPr>
          <w:lang w:val="en-US"/>
        </w:rPr>
        <w:t xml:space="preserve"> 26</w:t>
      </w:r>
      <w:r w:rsidRPr="00E22F3D">
        <w:rPr>
          <w:lang w:val="en-US"/>
        </w:rPr>
        <w:t xml:space="preserve"> November 2007. These acidified samples are noted in the database.</w:t>
      </w:r>
    </w:p>
    <w:p w14:paraId="60B980D6" w14:textId="77777777" w:rsidR="009C0974" w:rsidRPr="00E22F3D" w:rsidRDefault="009C0974" w:rsidP="000E3C43">
      <w:pPr>
        <w:rPr>
          <w:lang w:val="en-US"/>
        </w:rPr>
      </w:pPr>
    </w:p>
    <w:p w14:paraId="154F421B" w14:textId="6CD5B547" w:rsidR="00EF2956" w:rsidRPr="00E22F3D" w:rsidRDefault="00EF2956" w:rsidP="000E3C43">
      <w:pPr>
        <w:rPr>
          <w:lang w:val="en-US"/>
        </w:rPr>
      </w:pPr>
      <w:r w:rsidRPr="00E22F3D">
        <w:rPr>
          <w:lang w:val="en-US"/>
        </w:rPr>
        <w:t xml:space="preserve">The isotopic consequences of sample acidification could not be quantified precisely, because we did not have acidified and un-acidified splits of the same samples to compare. We also could not create comparison samples after-the-fact, because none of the original lot of acid was still available by the time we discovered that some of the isotope samples had been acidified. Nonetheless, the isotopic behaviors of the acidified and un-acidified samples </w:t>
      </w:r>
      <w:r w:rsidR="005F4B85" w:rsidRPr="00E22F3D">
        <w:rPr>
          <w:lang w:val="en-US"/>
        </w:rPr>
        <w:t>were broadly similar.</w:t>
      </w:r>
      <w:r w:rsidRPr="00E22F3D">
        <w:rPr>
          <w:lang w:val="en-US"/>
        </w:rPr>
        <w:t xml:space="preserve"> Comparing the 429 acidified streamwater samples from 2007 with 482 un-acidified streamwater samples covering the sa</w:t>
      </w:r>
      <w:r w:rsidR="005F4B85" w:rsidRPr="00E22F3D">
        <w:rPr>
          <w:lang w:val="en-US"/>
        </w:rPr>
        <w:t>me range of dates in 2008, we fou</w:t>
      </w:r>
      <w:r w:rsidRPr="00E22F3D">
        <w:rPr>
          <w:lang w:val="en-US"/>
        </w:rPr>
        <w:t>nd that they differ</w:t>
      </w:r>
      <w:r w:rsidR="002825FF">
        <w:rPr>
          <w:lang w:val="en-US"/>
        </w:rPr>
        <w:t>ed</w:t>
      </w:r>
      <w:r w:rsidRPr="00E22F3D">
        <w:rPr>
          <w:lang w:val="en-US"/>
        </w:rPr>
        <w:t xml:space="preserve"> in oxygen-18 by only 0.02</w:t>
      </w:r>
      <w:r w:rsidR="0030269F">
        <w:rPr>
          <w:lang w:val="en-US"/>
        </w:rPr>
        <w:t xml:space="preserve"> </w:t>
      </w:r>
      <w:r w:rsidRPr="00E22F3D">
        <w:rPr>
          <w:lang w:val="en-US"/>
        </w:rPr>
        <w:t xml:space="preserve">‰ (the un-acidified mean </w:t>
      </w:r>
      <w:r w:rsidR="005F4B85" w:rsidRPr="00E22F3D">
        <w:rPr>
          <w:lang w:val="en-US"/>
        </w:rPr>
        <w:t>wa</w:t>
      </w:r>
      <w:r w:rsidRPr="00E22F3D">
        <w:rPr>
          <w:lang w:val="en-US"/>
        </w:rPr>
        <w:t xml:space="preserve">s </w:t>
      </w:r>
      <w:r w:rsidRPr="00E22F3D">
        <w:rPr>
          <w:lang w:val="en-US"/>
        </w:rPr>
        <w:noBreakHyphen/>
        <w:t>5.927</w:t>
      </w:r>
      <w:r w:rsidR="0030269F">
        <w:rPr>
          <w:lang w:val="en-US"/>
        </w:rPr>
        <w:t xml:space="preserve"> </w:t>
      </w:r>
      <w:r w:rsidRPr="00E22F3D">
        <w:rPr>
          <w:lang w:val="en-US"/>
        </w:rPr>
        <w:t>‰, with a standard deviation of 0.318</w:t>
      </w:r>
      <w:r w:rsidR="0030269F">
        <w:rPr>
          <w:lang w:val="en-US"/>
        </w:rPr>
        <w:t xml:space="preserve"> </w:t>
      </w:r>
      <w:r w:rsidRPr="00E22F3D">
        <w:rPr>
          <w:lang w:val="en-US"/>
        </w:rPr>
        <w:t>‰ and standard error of 0.014</w:t>
      </w:r>
      <w:r w:rsidR="0030269F">
        <w:rPr>
          <w:lang w:val="en-US"/>
        </w:rPr>
        <w:t xml:space="preserve"> </w:t>
      </w:r>
      <w:r w:rsidRPr="00E22F3D">
        <w:rPr>
          <w:lang w:val="en-US"/>
        </w:rPr>
        <w:t xml:space="preserve">‰, compared to the acidified mean of </w:t>
      </w:r>
      <w:r w:rsidRPr="00E22F3D">
        <w:rPr>
          <w:lang w:val="en-US"/>
        </w:rPr>
        <w:noBreakHyphen/>
        <w:t>5.949</w:t>
      </w:r>
      <w:r w:rsidR="0030269F">
        <w:rPr>
          <w:lang w:val="en-US"/>
        </w:rPr>
        <w:t xml:space="preserve"> </w:t>
      </w:r>
      <w:r w:rsidRPr="00E22F3D">
        <w:rPr>
          <w:lang w:val="en-US"/>
        </w:rPr>
        <w:t>‰, with a standard deviation 0.256</w:t>
      </w:r>
      <w:r w:rsidR="0030269F">
        <w:rPr>
          <w:lang w:val="en-US"/>
        </w:rPr>
        <w:t xml:space="preserve"> </w:t>
      </w:r>
      <w:r w:rsidRPr="00E22F3D">
        <w:rPr>
          <w:lang w:val="en-US"/>
        </w:rPr>
        <w:t>‰ and standard error of 0.012</w:t>
      </w:r>
      <w:r w:rsidR="0030269F">
        <w:rPr>
          <w:lang w:val="en-US"/>
        </w:rPr>
        <w:t xml:space="preserve"> </w:t>
      </w:r>
      <w:r w:rsidRPr="00E22F3D">
        <w:rPr>
          <w:lang w:val="en-US"/>
        </w:rPr>
        <w:t>‰). Thus the two oxygen-18 means differ</w:t>
      </w:r>
      <w:r w:rsidR="005F4B85" w:rsidRPr="00E22F3D">
        <w:rPr>
          <w:lang w:val="en-US"/>
        </w:rPr>
        <w:t>ed</w:t>
      </w:r>
      <w:r w:rsidRPr="00E22F3D">
        <w:rPr>
          <w:lang w:val="en-US"/>
        </w:rPr>
        <w:t xml:space="preserve"> by only 1.2 times the standard error of the difference, implying either that acidifying the samples had little effect on their isotopic composition, or that this effect was masked by a similarly large offsetting difference in the stream water isotopic composition between the two years.</w:t>
      </w:r>
    </w:p>
    <w:p w14:paraId="7B48851D" w14:textId="77777777" w:rsidR="009C0974" w:rsidRPr="00E22F3D" w:rsidRDefault="009C0974" w:rsidP="000E3C43">
      <w:pPr>
        <w:rPr>
          <w:lang w:val="en-US"/>
        </w:rPr>
      </w:pPr>
    </w:p>
    <w:p w14:paraId="1CA7BCF5" w14:textId="4ACEFFA1" w:rsidR="00EF2956" w:rsidRPr="00E22F3D" w:rsidRDefault="00EF2956" w:rsidP="000E3C43">
      <w:pPr>
        <w:rPr>
          <w:lang w:val="en-US"/>
        </w:rPr>
      </w:pPr>
      <w:r w:rsidRPr="00E22F3D">
        <w:rPr>
          <w:lang w:val="en-US"/>
        </w:rPr>
        <w:t xml:space="preserve">The isotopic difference in deuterium between the acidified samples from 2007 and the un-acidified samples from 2008, however, </w:t>
      </w:r>
      <w:r w:rsidR="005F4B85" w:rsidRPr="00E22F3D">
        <w:rPr>
          <w:lang w:val="en-US"/>
        </w:rPr>
        <w:t>wa</w:t>
      </w:r>
      <w:r w:rsidRPr="00E22F3D">
        <w:rPr>
          <w:lang w:val="en-US"/>
        </w:rPr>
        <w:t>s somewhat larger. To estimate the effect of acidification while correcting for real-world isotopic variability between two years, we constructed a dual-isotope plot for the acidified samples from 2007 and the un-acidified samples from the same range of dates in 2008 (see Fig. S</w:t>
      </w:r>
      <w:r w:rsidR="002825FF">
        <w:rPr>
          <w:lang w:val="en-US"/>
        </w:rPr>
        <w:t>2</w:t>
      </w:r>
      <w:r w:rsidRPr="00E22F3D">
        <w:rPr>
          <w:lang w:val="en-US"/>
        </w:rPr>
        <w:t>, below). We then fitted these samples using a single slope, and a constant offset between the acidified and un-acidified samples, using least squares. The acidified samples were 0.68</w:t>
      </w:r>
      <w:r w:rsidR="0030269F">
        <w:rPr>
          <w:lang w:val="en-US"/>
        </w:rPr>
        <w:t xml:space="preserve"> </w:t>
      </w:r>
      <w:r w:rsidRPr="00E22F3D">
        <w:rPr>
          <w:rFonts w:cstheme="minorHAnsi"/>
          <w:lang w:val="en-US"/>
        </w:rPr>
        <w:t>±</w:t>
      </w:r>
      <w:r w:rsidR="0030269F">
        <w:rPr>
          <w:rFonts w:cstheme="minorHAnsi"/>
          <w:lang w:val="en-US"/>
        </w:rPr>
        <w:t xml:space="preserve"> </w:t>
      </w:r>
      <w:r w:rsidRPr="00E22F3D">
        <w:rPr>
          <w:lang w:val="en-US"/>
        </w:rPr>
        <w:t>0.08</w:t>
      </w:r>
      <w:r w:rsidR="0030269F">
        <w:rPr>
          <w:lang w:val="en-US"/>
        </w:rPr>
        <w:t xml:space="preserve"> </w:t>
      </w:r>
      <w:r w:rsidRPr="00E22F3D">
        <w:rPr>
          <w:lang w:val="en-US"/>
        </w:rPr>
        <w:t xml:space="preserve">‰ lighter in deuterium than the un-acidified samples.  Thus the offset between the samples </w:t>
      </w:r>
      <w:r w:rsidR="005F4B85" w:rsidRPr="00E22F3D">
        <w:rPr>
          <w:lang w:val="en-US"/>
        </w:rPr>
        <w:t>wa</w:t>
      </w:r>
      <w:r w:rsidRPr="00E22F3D">
        <w:rPr>
          <w:lang w:val="en-US"/>
        </w:rPr>
        <w:t xml:space="preserve">s much larger than its standard error.  Because H and </w:t>
      </w:r>
      <w:r w:rsidRPr="00E22F3D">
        <w:rPr>
          <w:vertAlign w:val="superscript"/>
          <w:lang w:val="en-US"/>
        </w:rPr>
        <w:t>2</w:t>
      </w:r>
      <w:r w:rsidRPr="00E22F3D">
        <w:rPr>
          <w:lang w:val="en-US"/>
        </w:rPr>
        <w:t>H can exchange between water molecules and HNO</w:t>
      </w:r>
      <w:r w:rsidRPr="00E22F3D">
        <w:rPr>
          <w:vertAlign w:val="subscript"/>
          <w:lang w:val="en-US"/>
        </w:rPr>
        <w:t>3</w:t>
      </w:r>
      <w:r w:rsidRPr="00E22F3D">
        <w:rPr>
          <w:lang w:val="en-US"/>
        </w:rPr>
        <w:t xml:space="preserve"> in solution but </w:t>
      </w:r>
      <w:r w:rsidRPr="00E22F3D">
        <w:rPr>
          <w:vertAlign w:val="superscript"/>
          <w:lang w:val="en-US"/>
        </w:rPr>
        <w:t>16</w:t>
      </w:r>
      <w:r w:rsidRPr="00E22F3D">
        <w:rPr>
          <w:lang w:val="en-US"/>
        </w:rPr>
        <w:t xml:space="preserve">O and </w:t>
      </w:r>
      <w:r w:rsidRPr="00E22F3D">
        <w:rPr>
          <w:vertAlign w:val="superscript"/>
          <w:lang w:val="en-US"/>
        </w:rPr>
        <w:t>18</w:t>
      </w:r>
      <w:r w:rsidRPr="00E22F3D">
        <w:rPr>
          <w:lang w:val="en-US"/>
        </w:rPr>
        <w:t>O cannot, one would expect the addition of HNO</w:t>
      </w:r>
      <w:r w:rsidRPr="00E22F3D">
        <w:rPr>
          <w:vertAlign w:val="subscript"/>
          <w:lang w:val="en-US"/>
        </w:rPr>
        <w:t>3</w:t>
      </w:r>
      <w:r w:rsidRPr="00E22F3D">
        <w:rPr>
          <w:lang w:val="en-US"/>
        </w:rPr>
        <w:t xml:space="preserve"> to more greatly affect the deuterium of the water than the oxygen-18, consistent with what we observed by comparing the acid</w:t>
      </w:r>
      <w:r w:rsidR="005F4B85" w:rsidRPr="00E22F3D">
        <w:rPr>
          <w:lang w:val="en-US"/>
        </w:rPr>
        <w:t>ified and un-acidified samples.</w:t>
      </w:r>
      <w:r w:rsidRPr="00E22F3D">
        <w:rPr>
          <w:lang w:val="en-US"/>
        </w:rPr>
        <w:t xml:space="preserve"> Note that the samples </w:t>
      </w:r>
      <w:r w:rsidR="005F4B85" w:rsidRPr="00E22F3D">
        <w:rPr>
          <w:lang w:val="en-US"/>
        </w:rPr>
        <w:t>wer</w:t>
      </w:r>
      <w:r w:rsidRPr="00E22F3D">
        <w:rPr>
          <w:lang w:val="en-US"/>
        </w:rPr>
        <w:t>e analyzed by cavity ring-down spectroscopy, which measures the deuterium and oxygen-18 of the water molecules rather than of the whole solution, so the isotopic composition of the HNO</w:t>
      </w:r>
      <w:r w:rsidRPr="00E22F3D">
        <w:rPr>
          <w:vertAlign w:val="subscript"/>
          <w:lang w:val="en-US"/>
        </w:rPr>
        <w:t>3</w:t>
      </w:r>
      <w:r w:rsidRPr="00E22F3D">
        <w:rPr>
          <w:lang w:val="en-US"/>
        </w:rPr>
        <w:t xml:space="preserve"> itself did not</w:t>
      </w:r>
      <w:r w:rsidR="00892328">
        <w:rPr>
          <w:lang w:val="en-US"/>
        </w:rPr>
        <w:t xml:space="preserve"> directly</w:t>
      </w:r>
      <w:r w:rsidRPr="00E22F3D">
        <w:rPr>
          <w:lang w:val="en-US"/>
        </w:rPr>
        <w:t xml:space="preserve"> influence the measurements.  </w:t>
      </w:r>
    </w:p>
    <w:p w14:paraId="6328E6B7" w14:textId="77777777" w:rsidR="009C0974" w:rsidRPr="00E22F3D" w:rsidRDefault="009C0974" w:rsidP="000E3C43">
      <w:pPr>
        <w:rPr>
          <w:lang w:val="en-US"/>
        </w:rPr>
      </w:pPr>
    </w:p>
    <w:p w14:paraId="6A08D0DA" w14:textId="08359560" w:rsidR="00EF2956" w:rsidRPr="00E22F3D" w:rsidRDefault="00EF2956" w:rsidP="000E3C43">
      <w:pPr>
        <w:rPr>
          <w:lang w:val="en-US"/>
        </w:rPr>
      </w:pPr>
      <w:r w:rsidRPr="00E22F3D">
        <w:rPr>
          <w:lang w:val="en-US"/>
        </w:rPr>
        <w:t>The offset of 0.68</w:t>
      </w:r>
      <w:r w:rsidR="0030269F">
        <w:rPr>
          <w:lang w:val="en-US"/>
        </w:rPr>
        <w:t xml:space="preserve"> </w:t>
      </w:r>
      <w:r w:rsidRPr="00E22F3D">
        <w:rPr>
          <w:rFonts w:cstheme="minorHAnsi"/>
          <w:lang w:val="en-US"/>
        </w:rPr>
        <w:t>±</w:t>
      </w:r>
      <w:r w:rsidR="0030269F">
        <w:rPr>
          <w:rFonts w:cstheme="minorHAnsi"/>
          <w:lang w:val="en-US"/>
        </w:rPr>
        <w:t xml:space="preserve"> </w:t>
      </w:r>
      <w:r w:rsidRPr="00E22F3D">
        <w:rPr>
          <w:lang w:val="en-US"/>
        </w:rPr>
        <w:t>0.08</w:t>
      </w:r>
      <w:r w:rsidR="0030269F">
        <w:rPr>
          <w:lang w:val="en-US"/>
        </w:rPr>
        <w:t xml:space="preserve"> </w:t>
      </w:r>
      <w:r w:rsidRPr="00E22F3D">
        <w:rPr>
          <w:lang w:val="en-US"/>
        </w:rPr>
        <w:t>‰ between the acidified and un-acidified samples is a small fraction of the deuterium variability in precipitation (standard deviation of 24.4</w:t>
      </w:r>
      <w:r w:rsidR="0030269F">
        <w:rPr>
          <w:lang w:val="en-US"/>
        </w:rPr>
        <w:t xml:space="preserve"> </w:t>
      </w:r>
      <w:r w:rsidRPr="00E22F3D">
        <w:rPr>
          <w:lang w:val="en-US"/>
        </w:rPr>
        <w:t>‰). It is not a trivial fraction of the variability in streamwater deuterium, however (standard deviation of 2.2</w:t>
      </w:r>
      <w:r w:rsidR="0030269F">
        <w:rPr>
          <w:lang w:val="en-US"/>
        </w:rPr>
        <w:t xml:space="preserve"> </w:t>
      </w:r>
      <w:r w:rsidRPr="00E22F3D">
        <w:rPr>
          <w:lang w:val="en-US"/>
        </w:rPr>
        <w:t xml:space="preserve">‰). For this reason, we corrected the deuterium measurements of all acidified samples (streamwater and precipitation) by this average offset value. We have applied this correction as a courtesy to future users of the data, not because it has any significant effect on the results reported here. The ensemble hydrograph separation technique is insensitive to constant biases in the tracer concentrations that it uses as inputs (Kirchner, 2019, Sects. 5.1 and 5.3).  Because the acidified streamwater samples comprise an entire block of samples before a long data gap (too long to be bridged by any of the analyses presented here), any isotopic effect of acidification would appear as a constant bias in </w:t>
      </w:r>
      <w:r w:rsidR="00892328">
        <w:rPr>
          <w:lang w:val="en-US"/>
        </w:rPr>
        <w:t xml:space="preserve">the inputs to </w:t>
      </w:r>
      <w:r w:rsidRPr="00E22F3D">
        <w:rPr>
          <w:lang w:val="en-US"/>
        </w:rPr>
        <w:t>the ensemble hydrograph separation and thus would not affect our results.</w:t>
      </w:r>
    </w:p>
    <w:p w14:paraId="6F4130D5" w14:textId="77777777" w:rsidR="00EF2956" w:rsidRPr="00E22F3D" w:rsidRDefault="00EF2956" w:rsidP="00EF2956">
      <w:pPr>
        <w:pStyle w:val="NormalSI"/>
      </w:pPr>
    </w:p>
    <w:p w14:paraId="32FB3BF6" w14:textId="77777777" w:rsidR="00EF2956" w:rsidRPr="00E22F3D" w:rsidRDefault="00EF2956" w:rsidP="009771D0">
      <w:pPr>
        <w:pStyle w:val="Figure"/>
        <w:rPr>
          <w:lang w:val="en-US"/>
        </w:rPr>
      </w:pPr>
      <w:r w:rsidRPr="00E22F3D">
        <w:lastRenderedPageBreak/>
        <w:drawing>
          <wp:inline distT="0" distB="0" distL="0" distR="0" wp14:anchorId="3D31BB39" wp14:editId="72D108FE">
            <wp:extent cx="3110323" cy="2318147"/>
            <wp:effectExtent l="0" t="0" r="0" b="635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acid_samples.png"/>
                    <pic:cNvPicPr/>
                  </pic:nvPicPr>
                  <pic:blipFill>
                    <a:blip r:embed="rId11">
                      <a:extLst>
                        <a:ext uri="{28A0092B-C50C-407E-A947-70E740481C1C}">
                          <a14:useLocalDpi xmlns:a14="http://schemas.microsoft.com/office/drawing/2010/main" val="0"/>
                        </a:ext>
                      </a:extLst>
                    </a:blip>
                    <a:stretch>
                      <a:fillRect/>
                    </a:stretch>
                  </pic:blipFill>
                  <pic:spPr>
                    <a:xfrm>
                      <a:off x="0" y="0"/>
                      <a:ext cx="3110323" cy="2318147"/>
                    </a:xfrm>
                    <a:prstGeom prst="rect">
                      <a:avLst/>
                    </a:prstGeom>
                  </pic:spPr>
                </pic:pic>
              </a:graphicData>
            </a:graphic>
          </wp:inline>
        </w:drawing>
      </w:r>
    </w:p>
    <w:p w14:paraId="6B382B73" w14:textId="2C2FBE68" w:rsidR="00EF2956" w:rsidRDefault="00EF2956" w:rsidP="00EF2956">
      <w:pPr>
        <w:pStyle w:val="Caption"/>
        <w:rPr>
          <w:lang w:val="en-US"/>
        </w:rPr>
      </w:pPr>
      <w:r w:rsidRPr="00E22F3D">
        <w:rPr>
          <w:lang w:val="en-US"/>
        </w:rPr>
        <w:t>Figure</w:t>
      </w:r>
      <w:r w:rsidR="005F4B85" w:rsidRPr="00E22F3D">
        <w:rPr>
          <w:lang w:val="en-US"/>
        </w:rPr>
        <w:t xml:space="preserve"> S</w:t>
      </w:r>
      <w:r w:rsidR="002825FF">
        <w:rPr>
          <w:lang w:val="en-US"/>
        </w:rPr>
        <w:t>2</w:t>
      </w:r>
      <w:r w:rsidRPr="00E22F3D">
        <w:rPr>
          <w:lang w:val="en-US"/>
        </w:rPr>
        <w:t xml:space="preserve">: Comparison of acidified streamwater samples (red) </w:t>
      </w:r>
      <w:r w:rsidR="00892328">
        <w:rPr>
          <w:lang w:val="en-US"/>
        </w:rPr>
        <w:t>and</w:t>
      </w:r>
      <w:r w:rsidRPr="00E22F3D">
        <w:rPr>
          <w:lang w:val="en-US"/>
        </w:rPr>
        <w:t xml:space="preserve"> un-acidified samples from the same range of dates one year later (blue). </w:t>
      </w:r>
    </w:p>
    <w:p w14:paraId="444D5A78" w14:textId="315ED4FD" w:rsidR="00575A5C" w:rsidRDefault="00575A5C" w:rsidP="00575A5C">
      <w:pPr>
        <w:rPr>
          <w:lang w:val="en-US"/>
        </w:rPr>
      </w:pPr>
    </w:p>
    <w:p w14:paraId="1E1DBAF0" w14:textId="7BC58F7F" w:rsidR="00575A5C" w:rsidRDefault="00575A5C" w:rsidP="00575A5C">
      <w:pPr>
        <w:pStyle w:val="Heading1"/>
        <w:rPr>
          <w:lang w:val="en-US"/>
        </w:rPr>
      </w:pPr>
      <w:r>
        <w:rPr>
          <w:lang w:val="en-US"/>
        </w:rPr>
        <w:t>Sample exclusion due to evaporative fractionation during storage</w:t>
      </w:r>
    </w:p>
    <w:p w14:paraId="400F6DE9" w14:textId="21D689EA" w:rsidR="00575A5C" w:rsidRPr="00E22F3D" w:rsidRDefault="00575A5C" w:rsidP="00575A5C">
      <w:pPr>
        <w:rPr>
          <w:lang w:val="en-US"/>
        </w:rPr>
      </w:pPr>
      <w:r w:rsidRPr="00E22F3D">
        <w:rPr>
          <w:lang w:val="en-US"/>
        </w:rPr>
        <w:t>We excluded one 7-hourly streamwater sample from further analysis, since its isotope ratio deviated significantly from the GMWL, suggesting evaporation during storage (see Fig. S</w:t>
      </w:r>
      <w:r>
        <w:rPr>
          <w:lang w:val="en-US"/>
        </w:rPr>
        <w:t>3</w:t>
      </w:r>
      <w:r w:rsidRPr="00E22F3D">
        <w:rPr>
          <w:lang w:val="en-US"/>
        </w:rPr>
        <w:t>). In addition, some of the weekly samples showed clear evaporation trends and had to be omitted from the data set; they were isotopically heavy in both deuterium and oxygen-18, but followed a line that was much shallower than the meteoric water line, indicating evaporative fractionation. In total around one-eighth of the weekly samples had to be excluded from the data set (22/177 precipitation samples, 25/215 Lower Hafren streamwater samples, and 27/215 Tanllwyth streamwater samples). Most of these sample bottles had visually obvious head space when they were opened for analysis, despite having been completely filled at the time</w:t>
      </w:r>
      <w:r>
        <w:rPr>
          <w:lang w:val="en-US"/>
        </w:rPr>
        <w:t xml:space="preserve"> of original sample processing. </w:t>
      </w:r>
      <w:r w:rsidRPr="00E22F3D">
        <w:rPr>
          <w:lang w:val="en-US"/>
        </w:rPr>
        <w:t>Fig</w:t>
      </w:r>
      <w:r>
        <w:rPr>
          <w:lang w:val="en-US"/>
        </w:rPr>
        <w:t>ure</w:t>
      </w:r>
      <w:r w:rsidRPr="00E22F3D">
        <w:rPr>
          <w:lang w:val="en-US"/>
        </w:rPr>
        <w:t xml:space="preserve"> S1 compares the excluded data points to the final data sets in dual-isotope space. </w:t>
      </w:r>
    </w:p>
    <w:p w14:paraId="2AF85338" w14:textId="77777777" w:rsidR="00575A5C" w:rsidRPr="00E22F3D" w:rsidRDefault="00575A5C" w:rsidP="00575A5C">
      <w:pPr>
        <w:rPr>
          <w:lang w:val="en-US"/>
        </w:rPr>
      </w:pPr>
    </w:p>
    <w:p w14:paraId="139D6170" w14:textId="77777777" w:rsidR="00575A5C" w:rsidRPr="00E22F3D" w:rsidRDefault="00575A5C" w:rsidP="00575A5C">
      <w:pPr>
        <w:pStyle w:val="NormalSI"/>
      </w:pPr>
    </w:p>
    <w:p w14:paraId="17AFD437" w14:textId="77777777" w:rsidR="00575A5C" w:rsidRPr="00E22F3D" w:rsidRDefault="00575A5C" w:rsidP="00575A5C">
      <w:pPr>
        <w:pStyle w:val="Figure"/>
        <w:rPr>
          <w:lang w:val="en-US"/>
        </w:rPr>
      </w:pPr>
      <w:r w:rsidRPr="00E22F3D">
        <w:drawing>
          <wp:inline distT="0" distB="0" distL="0" distR="0" wp14:anchorId="24224362" wp14:editId="4FBD6546">
            <wp:extent cx="6300000" cy="2492637"/>
            <wp:effectExtent l="0" t="0" r="5715"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WL.png"/>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300000" cy="2492637"/>
                    </a:xfrm>
                    <a:prstGeom prst="rect">
                      <a:avLst/>
                    </a:prstGeom>
                    <a:ln>
                      <a:noFill/>
                    </a:ln>
                    <a:extLst>
                      <a:ext uri="{53640926-AAD7-44D8-BBD7-CCE9431645EC}">
                        <a14:shadowObscured xmlns:a14="http://schemas.microsoft.com/office/drawing/2010/main"/>
                      </a:ext>
                    </a:extLst>
                  </pic:spPr>
                </pic:pic>
              </a:graphicData>
            </a:graphic>
          </wp:inline>
        </w:drawing>
      </w:r>
    </w:p>
    <w:p w14:paraId="4F6D033E" w14:textId="1EAC4B79" w:rsidR="00575A5C" w:rsidRDefault="00575A5C" w:rsidP="00575A5C">
      <w:pPr>
        <w:pStyle w:val="Caption"/>
        <w:rPr>
          <w:lang w:val="en-US"/>
        </w:rPr>
      </w:pPr>
      <w:bookmarkStart w:id="1" w:name="_Ref7278975"/>
      <w:r w:rsidRPr="00E22F3D">
        <w:rPr>
          <w:lang w:val="en-US"/>
        </w:rPr>
        <w:t>Figure</w:t>
      </w:r>
      <w:bookmarkEnd w:id="1"/>
      <w:r w:rsidRPr="00E22F3D">
        <w:rPr>
          <w:lang w:val="en-US"/>
        </w:rPr>
        <w:t xml:space="preserve"> S</w:t>
      </w:r>
      <w:r w:rsidR="001A0A17">
        <w:rPr>
          <w:lang w:val="en-US"/>
        </w:rPr>
        <w:t>3</w:t>
      </w:r>
      <w:r w:rsidRPr="00E22F3D">
        <w:rPr>
          <w:lang w:val="en-US"/>
        </w:rPr>
        <w:t>: Dual-isotope plots of 7-hourly (</w:t>
      </w:r>
      <w:r w:rsidR="001A0A17">
        <w:rPr>
          <w:lang w:val="en-US"/>
        </w:rPr>
        <w:t>left</w:t>
      </w:r>
      <w:r w:rsidRPr="00E22F3D">
        <w:rPr>
          <w:lang w:val="en-US"/>
        </w:rPr>
        <w:t>) and weekly (</w:t>
      </w:r>
      <w:r w:rsidR="001A0A17">
        <w:rPr>
          <w:lang w:val="en-US"/>
        </w:rPr>
        <w:t>center and right</w:t>
      </w:r>
      <w:r w:rsidRPr="00E22F3D">
        <w:rPr>
          <w:lang w:val="en-US"/>
        </w:rPr>
        <w:t>) data. Precipitation samples are shown in lighter colors, whereas darker markers indicate streamwater samples. Samples excluded from the data set due to evaporative effects are shown in red (light red for precipitation and darker red for streamflow), while blue markers indicate data points included in the final data set. The red line defines the local meteoric water line (LMWL) derived from the 7-hourly precipitation data. In total, 74 samples had to be excluded. Excluded data points clearly show evaporation effects and are mainly f</w:t>
      </w:r>
      <w:r>
        <w:rPr>
          <w:lang w:val="en-US"/>
        </w:rPr>
        <w:t xml:space="preserve">ound among the weekly samples. </w:t>
      </w:r>
    </w:p>
    <w:p w14:paraId="152A6FF3" w14:textId="77777777" w:rsidR="00575A5C" w:rsidRPr="00575A5C" w:rsidRDefault="00575A5C" w:rsidP="00575A5C">
      <w:pPr>
        <w:rPr>
          <w:lang w:val="en-US"/>
        </w:rPr>
      </w:pPr>
    </w:p>
    <w:p w14:paraId="64E7C7DF" w14:textId="77777777" w:rsidR="00EF2956" w:rsidRPr="00E22F3D" w:rsidRDefault="00EF2956" w:rsidP="00EF2956">
      <w:pPr>
        <w:pStyle w:val="Heading1"/>
        <w:rPr>
          <w:lang w:val="en-US"/>
        </w:rPr>
      </w:pPr>
      <w:r w:rsidRPr="00E22F3D">
        <w:rPr>
          <w:lang w:val="en-US"/>
        </w:rPr>
        <w:lastRenderedPageBreak/>
        <w:t>Evaporative fractionation during storage in the autosampler carousels</w:t>
      </w:r>
    </w:p>
    <w:p w14:paraId="2AEBA1D6" w14:textId="337F7008" w:rsidR="00EF2956" w:rsidRPr="00E22F3D" w:rsidRDefault="00EF2956" w:rsidP="000E3C43">
      <w:pPr>
        <w:rPr>
          <w:lang w:val="en-US"/>
        </w:rPr>
      </w:pPr>
      <w:r w:rsidRPr="00E22F3D">
        <w:rPr>
          <w:lang w:val="en-US"/>
        </w:rPr>
        <w:t xml:space="preserve">7-hourly precipitation and streamwater samples were stored in open bottles in an autosampler at the field site for up to one week before the bottles were picked up and returned to the laboratory. The same is true for the weekly precipitation samples, because these are cumulative open-bottle samples. Only the weekly streamwater samples </w:t>
      </w:r>
      <w:r w:rsidR="00892328">
        <w:rPr>
          <w:lang w:val="en-US"/>
        </w:rPr>
        <w:t>from</w:t>
      </w:r>
      <w:r w:rsidRPr="00E22F3D">
        <w:rPr>
          <w:lang w:val="en-US"/>
        </w:rPr>
        <w:t xml:space="preserve"> Lower Hafren and Tanllwyth were collected as grab samples and returned to the lab directly after collection. </w:t>
      </w:r>
    </w:p>
    <w:p w14:paraId="61289305" w14:textId="77777777" w:rsidR="009C0974" w:rsidRPr="00E22F3D" w:rsidRDefault="009C0974" w:rsidP="000E3C43">
      <w:pPr>
        <w:rPr>
          <w:lang w:val="en-US"/>
        </w:rPr>
      </w:pPr>
    </w:p>
    <w:p w14:paraId="2CAC50D5" w14:textId="506D6A25" w:rsidR="00EF2956" w:rsidRPr="00E22F3D" w:rsidRDefault="00EF2956" w:rsidP="000E3C43">
      <w:pPr>
        <w:rPr>
          <w:lang w:val="en-US"/>
        </w:rPr>
      </w:pPr>
      <w:r w:rsidRPr="00E22F3D">
        <w:rPr>
          <w:lang w:val="en-US"/>
        </w:rPr>
        <w:t>We examined the question of whether storage in open bottles may have led to evaporative fractionation, particularly in the warmer summer months. We observed different slopes and intercepts of the meteoric water line in summer and winter, with slightly heavier oxygen-18 and deuterium values in summer than in winter (see Fig. S</w:t>
      </w:r>
      <w:r w:rsidR="005F4B85" w:rsidRPr="00E22F3D">
        <w:rPr>
          <w:lang w:val="en-US"/>
        </w:rPr>
        <w:t>4</w:t>
      </w:r>
      <w:r w:rsidRPr="00E22F3D">
        <w:rPr>
          <w:lang w:val="en-US"/>
        </w:rPr>
        <w:t>). This was however true for all samples, including the weekly streamwater samples, indicating that additional evaporative fractionation during storage was probably negligible, and thus that the observed difference in isotopic values between summer and winter represents real-world variability. This was also confirmed by the analysis of deuterium excess relative to the GMWL, which yielded similar seasonal effects for all sample types (see Fig.</w:t>
      </w:r>
      <w:r w:rsidR="008651B1">
        <w:rPr>
          <w:lang w:val="en-US"/>
        </w:rPr>
        <w:t xml:space="preserve"> </w:t>
      </w:r>
      <w:r w:rsidRPr="00E22F3D">
        <w:rPr>
          <w:lang w:val="en-US"/>
        </w:rPr>
        <w:t xml:space="preserve">3 in the main paper). If the storage effects were significant, we would also expect substantially different deuterium excess values in bottles stored for longer times inside the autosampler in the field, compared to samples collected closer to the time of pick-up. This, however, was not the case; deuterium excess did not change with storage duration in the field (see Fig. 4 in the main paper). </w:t>
      </w:r>
    </w:p>
    <w:p w14:paraId="69A5B6CB" w14:textId="77777777" w:rsidR="00EF2956" w:rsidRPr="00E22F3D" w:rsidRDefault="00EF2956" w:rsidP="00EF2956">
      <w:pPr>
        <w:spacing w:line="276" w:lineRule="auto"/>
        <w:rPr>
          <w:lang w:val="en-US"/>
        </w:rPr>
      </w:pPr>
    </w:p>
    <w:p w14:paraId="15628B86" w14:textId="77777777" w:rsidR="00EF2956" w:rsidRPr="00E22F3D" w:rsidRDefault="00EF2956" w:rsidP="009771D0">
      <w:pPr>
        <w:pStyle w:val="Figure"/>
        <w:rPr>
          <w:lang w:val="en-US"/>
        </w:rPr>
      </w:pPr>
      <w:r w:rsidRPr="00E22F3D">
        <w:drawing>
          <wp:inline distT="0" distB="0" distL="0" distR="0" wp14:anchorId="651C6793" wp14:editId="5F6EA456">
            <wp:extent cx="6277987" cy="1692176"/>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dualiso_seasons_SI.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277987" cy="1692176"/>
                    </a:xfrm>
                    <a:prstGeom prst="rect">
                      <a:avLst/>
                    </a:prstGeom>
                  </pic:spPr>
                </pic:pic>
              </a:graphicData>
            </a:graphic>
          </wp:inline>
        </w:drawing>
      </w:r>
    </w:p>
    <w:p w14:paraId="008F5E3D" w14:textId="35E2A613" w:rsidR="00EF2956" w:rsidRDefault="00EF2956" w:rsidP="00EF2956">
      <w:pPr>
        <w:pStyle w:val="Caption"/>
        <w:rPr>
          <w:lang w:val="en-US"/>
        </w:rPr>
      </w:pPr>
      <w:r w:rsidRPr="00E22F3D">
        <w:rPr>
          <w:lang w:val="en-US"/>
        </w:rPr>
        <w:t xml:space="preserve">Figure </w:t>
      </w:r>
      <w:r w:rsidR="005F4B85" w:rsidRPr="00E22F3D">
        <w:rPr>
          <w:lang w:val="en-US"/>
        </w:rPr>
        <w:t>S4:</w:t>
      </w:r>
      <w:r w:rsidRPr="00E22F3D">
        <w:rPr>
          <w:lang w:val="en-US"/>
        </w:rPr>
        <w:t xml:space="preserve"> Separating su</w:t>
      </w:r>
      <w:r w:rsidR="006F1B9D" w:rsidRPr="00E22F3D">
        <w:rPr>
          <w:lang w:val="en-US"/>
        </w:rPr>
        <w:t>mmer and winter samples in dual-</w:t>
      </w:r>
      <w:r w:rsidRPr="00E22F3D">
        <w:rPr>
          <w:lang w:val="en-US"/>
        </w:rPr>
        <w:t>isotope plots shows that summer samples are isotopically slightly heavier than winter samples, and winter samples lie farther above t</w:t>
      </w:r>
      <w:r w:rsidR="005F4B85" w:rsidRPr="00E22F3D">
        <w:rPr>
          <w:lang w:val="en-US"/>
        </w:rPr>
        <w:t xml:space="preserve">he global meteoric water line. </w:t>
      </w:r>
      <w:r w:rsidRPr="00E22F3D">
        <w:rPr>
          <w:lang w:val="en-US"/>
        </w:rPr>
        <w:t>Weekly streamwater grab samples at Lower Hafren and Tanllwyth, which were not subject to evaporative fractionation in the field, exhibit this same pattern, suggesting that the 7-hourly samples did not undergo significant fractionation after collection.</w:t>
      </w:r>
    </w:p>
    <w:p w14:paraId="5309FBA5" w14:textId="77777777" w:rsidR="002825FF" w:rsidRPr="002825FF" w:rsidRDefault="002825FF" w:rsidP="002825FF">
      <w:pPr>
        <w:rPr>
          <w:lang w:val="en-US"/>
        </w:rPr>
      </w:pPr>
    </w:p>
    <w:p w14:paraId="171EF360" w14:textId="77777777" w:rsidR="00EF2956" w:rsidRPr="00E22F3D" w:rsidRDefault="00EF2956" w:rsidP="00EF2956">
      <w:pPr>
        <w:pStyle w:val="Heading1"/>
        <w:rPr>
          <w:lang w:val="en-US"/>
        </w:rPr>
      </w:pPr>
      <w:r w:rsidRPr="00E22F3D">
        <w:rPr>
          <w:lang w:val="en-US"/>
        </w:rPr>
        <w:t xml:space="preserve">Dry deposition correction for Plynlimon chloride data </w:t>
      </w:r>
    </w:p>
    <w:p w14:paraId="196B599C" w14:textId="747EB5EB" w:rsidR="00EF2956" w:rsidRPr="00E22F3D" w:rsidRDefault="00EF2956" w:rsidP="000E3C43">
      <w:pPr>
        <w:rPr>
          <w:lang w:val="en-US"/>
        </w:rPr>
      </w:pPr>
      <w:r w:rsidRPr="00E22F3D">
        <w:rPr>
          <w:lang w:val="en-US"/>
        </w:rPr>
        <w:t xml:space="preserve">Dry deposition of chloride artificially increases the variability of the precipitation input signal and </w:t>
      </w:r>
      <w:r w:rsidR="002825FF">
        <w:rPr>
          <w:lang w:val="en-US"/>
        </w:rPr>
        <w:t xml:space="preserve">can </w:t>
      </w:r>
      <w:r w:rsidRPr="00E22F3D">
        <w:rPr>
          <w:lang w:val="en-US"/>
        </w:rPr>
        <w:t xml:space="preserve">thus increase the damping observed between catchment input and output chloride concentrations. Samples affected by dry deposition need to be excluded from the calculation of new water fractions to avoid this bias. We filtered out dry deposition effects in the 7-hourly chloride data only. Dry deposition effects are likely to also be important in the weekly data, but much harder to detect and remove, because most of the weekly precipitation samples are likely to be affected. </w:t>
      </w:r>
    </w:p>
    <w:p w14:paraId="28D56273" w14:textId="77777777" w:rsidR="009C0974" w:rsidRPr="00E22F3D" w:rsidRDefault="009C0974" w:rsidP="000E3C43">
      <w:pPr>
        <w:rPr>
          <w:lang w:val="en-US"/>
        </w:rPr>
      </w:pPr>
    </w:p>
    <w:p w14:paraId="46596956" w14:textId="4B69A638" w:rsidR="00EF2956" w:rsidRDefault="00EF2956" w:rsidP="000E3C43">
      <w:pPr>
        <w:rPr>
          <w:lang w:val="en-US"/>
        </w:rPr>
      </w:pPr>
      <w:r w:rsidRPr="00E22F3D">
        <w:rPr>
          <w:lang w:val="en-US"/>
        </w:rPr>
        <w:t>This filtering approach takes into account that concentrations are expected to vary more when the amount of precipitation is small, that very high solute concentrations are unlikely, and that dry deposition is most likely to affect samples collected after extended periods without rain (see Fig. S</w:t>
      </w:r>
      <w:r w:rsidR="005F4B85" w:rsidRPr="00E22F3D">
        <w:rPr>
          <w:lang w:val="en-US"/>
        </w:rPr>
        <w:t>5</w:t>
      </w:r>
      <w:r w:rsidRPr="00E22F3D">
        <w:rPr>
          <w:lang w:val="en-US"/>
        </w:rPr>
        <w:t xml:space="preserve">). Samples falling into any of these three categories (soft criteria), were flagged and their chloride concentrations were compared to the concentration of the sample collected immediately prior and/or afterward. </w:t>
      </w:r>
      <w:r w:rsidRPr="00E22F3D">
        <w:rPr>
          <w:lang w:val="en-US"/>
        </w:rPr>
        <w:lastRenderedPageBreak/>
        <w:t>Only if the concentration of the sample in question was much higher than the neighb</w:t>
      </w:r>
      <w:r w:rsidR="00892328">
        <w:rPr>
          <w:lang w:val="en-US"/>
        </w:rPr>
        <w:t>oring samples did we consider</w:t>
      </w:r>
      <w:r w:rsidRPr="00E22F3D">
        <w:rPr>
          <w:lang w:val="en-US"/>
        </w:rPr>
        <w:t xml:space="preserve"> it an outlier (hard criterion). </w:t>
      </w:r>
    </w:p>
    <w:p w14:paraId="2F1A8BE2" w14:textId="77777777" w:rsidR="00BE4EDC" w:rsidRPr="00E22F3D" w:rsidRDefault="00BE4EDC" w:rsidP="000E3C43">
      <w:pPr>
        <w:rPr>
          <w:lang w:val="en-US"/>
        </w:rPr>
      </w:pPr>
    </w:p>
    <w:p w14:paraId="16A3D83D" w14:textId="58767B99" w:rsidR="009C0974" w:rsidRPr="00E22F3D" w:rsidRDefault="00EF2956" w:rsidP="000E3C43">
      <w:pPr>
        <w:rPr>
          <w:lang w:val="en-US"/>
        </w:rPr>
      </w:pPr>
      <w:r w:rsidRPr="00E22F3D">
        <w:rPr>
          <w:lang w:val="en-US"/>
        </w:rPr>
        <w:t>This filtering le</w:t>
      </w:r>
      <w:r w:rsidR="005F4B85" w:rsidRPr="00E22F3D">
        <w:rPr>
          <w:lang w:val="en-US"/>
        </w:rPr>
        <w:t>d</w:t>
      </w:r>
      <w:r w:rsidRPr="00E22F3D">
        <w:rPr>
          <w:lang w:val="en-US"/>
        </w:rPr>
        <w:t xml:space="preserve"> to an exclusion of </w:t>
      </w:r>
      <w:r w:rsidR="006616B9">
        <w:rPr>
          <w:lang w:val="en-US"/>
        </w:rPr>
        <w:t>6.6</w:t>
      </w:r>
      <w:r w:rsidR="00C96ED1">
        <w:rPr>
          <w:lang w:val="en-US"/>
        </w:rPr>
        <w:t xml:space="preserve"> </w:t>
      </w:r>
      <w:r w:rsidRPr="00E22F3D">
        <w:rPr>
          <w:lang w:val="en-US"/>
        </w:rPr>
        <w:t>% of the chloride samples from the 7-hourly data set. Removing these points reduce</w:t>
      </w:r>
      <w:r w:rsidR="005F4B85" w:rsidRPr="00E22F3D">
        <w:rPr>
          <w:lang w:val="en-US"/>
        </w:rPr>
        <w:t>d</w:t>
      </w:r>
      <w:r w:rsidRPr="00E22F3D">
        <w:rPr>
          <w:lang w:val="en-US"/>
        </w:rPr>
        <w:t xml:space="preserve"> the chloride input-output flux ratio from 1.</w:t>
      </w:r>
      <w:r w:rsidR="0066435D">
        <w:rPr>
          <w:lang w:val="en-US"/>
        </w:rPr>
        <w:t>0</w:t>
      </w:r>
      <w:r w:rsidRPr="00E22F3D">
        <w:rPr>
          <w:lang w:val="en-US"/>
        </w:rPr>
        <w:t>6 to 0.</w:t>
      </w:r>
      <w:r w:rsidR="0066435D">
        <w:rPr>
          <w:lang w:val="en-US"/>
        </w:rPr>
        <w:t>7</w:t>
      </w:r>
      <w:r w:rsidR="006616B9">
        <w:rPr>
          <w:lang w:val="en-US"/>
        </w:rPr>
        <w:t>5</w:t>
      </w:r>
      <w:r w:rsidRPr="00E22F3D">
        <w:rPr>
          <w:lang w:val="en-US"/>
        </w:rPr>
        <w:t xml:space="preserve">. A mass balance of a passive tracer smaller than unity is not ideal. However, in our analysis it </w:t>
      </w:r>
      <w:r w:rsidR="002825FF">
        <w:rPr>
          <w:lang w:val="en-US"/>
        </w:rPr>
        <w:t>wa</w:t>
      </w:r>
      <w:r w:rsidRPr="00E22F3D">
        <w:rPr>
          <w:lang w:val="en-US"/>
        </w:rPr>
        <w:t>s more important that the variabilit</w:t>
      </w:r>
      <w:r w:rsidR="00892328">
        <w:rPr>
          <w:lang w:val="en-US"/>
        </w:rPr>
        <w:t>y of the input signal represented</w:t>
      </w:r>
      <w:r w:rsidRPr="00E22F3D">
        <w:rPr>
          <w:lang w:val="en-US"/>
        </w:rPr>
        <w:t xml:space="preserve"> the one expected for a conservative trac</w:t>
      </w:r>
      <w:r w:rsidR="00892328">
        <w:rPr>
          <w:lang w:val="en-US"/>
        </w:rPr>
        <w:t>er, than that its mass balance wa</w:t>
      </w:r>
      <w:r w:rsidRPr="00E22F3D">
        <w:rPr>
          <w:lang w:val="en-US"/>
        </w:rPr>
        <w:t>s correct. After the dry deposition filtering, the new water fractions calculated f</w:t>
      </w:r>
      <w:r w:rsidR="002825FF">
        <w:rPr>
          <w:lang w:val="en-US"/>
        </w:rPr>
        <w:t>rom</w:t>
      </w:r>
      <w:r w:rsidRPr="00E22F3D">
        <w:rPr>
          <w:lang w:val="en-US"/>
        </w:rPr>
        <w:t xml:space="preserve"> chloride and </w:t>
      </w:r>
      <w:r w:rsidR="002825FF">
        <w:rPr>
          <w:lang w:val="en-US"/>
        </w:rPr>
        <w:t>stable isotopes</w:t>
      </w:r>
      <w:r w:rsidRPr="00E22F3D">
        <w:rPr>
          <w:lang w:val="en-US"/>
        </w:rPr>
        <w:t xml:space="preserve"> were broadly similar across a range of precipitation thresholds</w:t>
      </w:r>
      <w:r w:rsidR="005F4B85" w:rsidRPr="00E22F3D">
        <w:rPr>
          <w:lang w:val="en-US"/>
        </w:rPr>
        <w:t xml:space="preserve"> (Fig. </w:t>
      </w:r>
      <w:r w:rsidR="008651B1">
        <w:rPr>
          <w:lang w:val="en-US"/>
        </w:rPr>
        <w:t>8</w:t>
      </w:r>
      <w:r w:rsidR="005F4B85" w:rsidRPr="00E22F3D">
        <w:rPr>
          <w:lang w:val="en-US"/>
        </w:rPr>
        <w:t xml:space="preserve"> in the main text)</w:t>
      </w:r>
      <w:r w:rsidRPr="00E22F3D">
        <w:rPr>
          <w:lang w:val="en-US"/>
        </w:rPr>
        <w:t>, over different sampling intervals</w:t>
      </w:r>
      <w:r w:rsidR="005F4B85" w:rsidRPr="00E22F3D">
        <w:rPr>
          <w:lang w:val="en-US"/>
        </w:rPr>
        <w:t xml:space="preserve"> (Fig. </w:t>
      </w:r>
      <w:r w:rsidR="008651B1">
        <w:rPr>
          <w:lang w:val="en-US"/>
        </w:rPr>
        <w:t>9</w:t>
      </w:r>
      <w:r w:rsidR="005F4B85" w:rsidRPr="00E22F3D">
        <w:rPr>
          <w:lang w:val="en-US"/>
        </w:rPr>
        <w:t xml:space="preserve"> in the main text)</w:t>
      </w:r>
      <w:r w:rsidRPr="00E22F3D">
        <w:rPr>
          <w:lang w:val="en-US"/>
        </w:rPr>
        <w:t xml:space="preserve">, </w:t>
      </w:r>
      <w:r w:rsidR="00892328">
        <w:rPr>
          <w:lang w:val="en-US"/>
        </w:rPr>
        <w:t>and with/without discharge-weighting</w:t>
      </w:r>
      <w:r w:rsidR="005F4B85" w:rsidRPr="00E22F3D">
        <w:rPr>
          <w:lang w:val="en-US"/>
        </w:rPr>
        <w:t xml:space="preserve"> (Table 1 in the main text)</w:t>
      </w:r>
      <w:r w:rsidRPr="00E22F3D">
        <w:rPr>
          <w:lang w:val="en-US"/>
        </w:rPr>
        <w:t xml:space="preserve">. </w:t>
      </w:r>
    </w:p>
    <w:p w14:paraId="59B33279" w14:textId="77777777" w:rsidR="003A4FB4" w:rsidRPr="00E22F3D" w:rsidRDefault="003A4FB4" w:rsidP="000E3C43">
      <w:pPr>
        <w:rPr>
          <w:lang w:val="en-US"/>
        </w:rPr>
      </w:pPr>
    </w:p>
    <w:p w14:paraId="4AA431C9" w14:textId="77777777" w:rsidR="00EF2956" w:rsidRPr="00E22F3D" w:rsidRDefault="00EF2956" w:rsidP="009771D0">
      <w:pPr>
        <w:pStyle w:val="Figure"/>
        <w:rPr>
          <w:lang w:val="en-US"/>
        </w:rPr>
      </w:pPr>
      <w:r w:rsidRPr="00E22F3D">
        <w:drawing>
          <wp:inline distT="0" distB="0" distL="0" distR="0" wp14:anchorId="5C2BADE8" wp14:editId="3F122C62">
            <wp:extent cx="6300000" cy="3489697"/>
            <wp:effectExtent l="0" t="0" r="571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rydepcorr_edit.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300000" cy="3489697"/>
                    </a:xfrm>
                    <a:prstGeom prst="rect">
                      <a:avLst/>
                    </a:prstGeom>
                  </pic:spPr>
                </pic:pic>
              </a:graphicData>
            </a:graphic>
          </wp:inline>
        </w:drawing>
      </w:r>
    </w:p>
    <w:p w14:paraId="3BD4048D" w14:textId="3B90B79C" w:rsidR="00EF2956" w:rsidRDefault="00EF2956" w:rsidP="003B0AF7">
      <w:pPr>
        <w:pStyle w:val="Caption"/>
        <w:rPr>
          <w:lang w:val="en-US"/>
        </w:rPr>
      </w:pPr>
      <w:bookmarkStart w:id="2" w:name="_Ref7289621"/>
      <w:r w:rsidRPr="00E22F3D">
        <w:rPr>
          <w:lang w:val="en-US"/>
        </w:rPr>
        <w:t>Figure</w:t>
      </w:r>
      <w:bookmarkEnd w:id="2"/>
      <w:r w:rsidR="005F4B85" w:rsidRPr="00E22F3D">
        <w:rPr>
          <w:lang w:val="en-US"/>
        </w:rPr>
        <w:t xml:space="preserve"> S5</w:t>
      </w:r>
      <w:r w:rsidRPr="00E22F3D">
        <w:rPr>
          <w:lang w:val="en-US"/>
        </w:rPr>
        <w:t>: Chloride concentrations in precipitation were tested for effects of dry deposition. We assumed that dry deposition would lead to exceptionally high absolute concentrations, lead to very high concentrations at low precipitation rates, or play an important role after longer periods without precipitation. These acted as soft criteria (shown as red lines in the above figures), and flagged samples were removed if their concentrations were higher than the previous or following samples by more than twice the media</w:t>
      </w:r>
      <w:r w:rsidR="005F4B85" w:rsidRPr="00E22F3D">
        <w:rPr>
          <w:lang w:val="en-US"/>
        </w:rPr>
        <w:t xml:space="preserve">n concentration of all samples. Samples considered to be affected by dry deposition and removed </w:t>
      </w:r>
      <w:r w:rsidR="002825FF">
        <w:rPr>
          <w:lang w:val="en-US"/>
        </w:rPr>
        <w:t xml:space="preserve">from the data set </w:t>
      </w:r>
      <w:r w:rsidR="005F4B85" w:rsidRPr="00E22F3D">
        <w:rPr>
          <w:lang w:val="en-US"/>
        </w:rPr>
        <w:t>are shown in orange</w:t>
      </w:r>
      <w:r w:rsidR="002825FF">
        <w:rPr>
          <w:lang w:val="en-US"/>
        </w:rPr>
        <w:t xml:space="preserve"> (diamonds)</w:t>
      </w:r>
      <w:r w:rsidR="005F4B85" w:rsidRPr="00E22F3D">
        <w:rPr>
          <w:lang w:val="en-US"/>
        </w:rPr>
        <w:t>, and the final data set of 7-hourly chloride concentrations in precipitation</w:t>
      </w:r>
      <w:r w:rsidR="00E405E3" w:rsidRPr="00E22F3D">
        <w:rPr>
          <w:lang w:val="en-US"/>
        </w:rPr>
        <w:t xml:space="preserve"> is</w:t>
      </w:r>
      <w:r w:rsidR="005F4B85" w:rsidRPr="00E22F3D">
        <w:rPr>
          <w:lang w:val="en-US"/>
        </w:rPr>
        <w:t xml:space="preserve"> shown in blue</w:t>
      </w:r>
      <w:r w:rsidR="002825FF">
        <w:rPr>
          <w:lang w:val="en-US"/>
        </w:rPr>
        <w:t xml:space="preserve"> (circles)</w:t>
      </w:r>
      <w:r w:rsidR="005F4B85" w:rsidRPr="00E22F3D">
        <w:rPr>
          <w:lang w:val="en-US"/>
        </w:rPr>
        <w:t xml:space="preserve">.  </w:t>
      </w:r>
    </w:p>
    <w:p w14:paraId="64B53CAE" w14:textId="2AB8DA4B" w:rsidR="00923E56" w:rsidRDefault="00923E56" w:rsidP="00923E56">
      <w:pPr>
        <w:rPr>
          <w:lang w:val="en-US"/>
        </w:rPr>
      </w:pPr>
    </w:p>
    <w:p w14:paraId="109B2C51" w14:textId="733435C5" w:rsidR="00923E56" w:rsidRDefault="00923E56" w:rsidP="00923E56">
      <w:pPr>
        <w:pStyle w:val="Heading1"/>
        <w:rPr>
          <w:lang w:val="en-US"/>
        </w:rPr>
      </w:pPr>
      <w:r>
        <w:rPr>
          <w:lang w:val="en-US"/>
        </w:rPr>
        <w:t>Comparison of transit time distributions from spectral fitting and ensemble hydrograph separation</w:t>
      </w:r>
    </w:p>
    <w:p w14:paraId="34FFB9CF" w14:textId="4C5601EC" w:rsidR="000A3AC3" w:rsidRDefault="00A4301D" w:rsidP="000A3AC3">
      <w:pPr>
        <w:rPr>
          <w:lang w:val="en-US"/>
        </w:rPr>
      </w:pPr>
      <w:r>
        <w:rPr>
          <w:lang w:val="en-US"/>
        </w:rPr>
        <w:t xml:space="preserve">We estimated transit time distributions from the power spectra of the tracer time series. </w:t>
      </w:r>
      <w:r w:rsidR="004A69C3">
        <w:rPr>
          <w:lang w:val="en-US"/>
        </w:rPr>
        <w:t>The gamma model, when multiplied by the precipitation power spectrum, fit</w:t>
      </w:r>
      <w:r w:rsidR="002825FF">
        <w:rPr>
          <w:lang w:val="en-US"/>
        </w:rPr>
        <w:t>ted</w:t>
      </w:r>
      <w:r w:rsidR="004A69C3">
        <w:rPr>
          <w:lang w:val="en-US"/>
        </w:rPr>
        <w:t xml:space="preserve"> the streamwater tracer </w:t>
      </w:r>
      <w:r w:rsidR="00892328">
        <w:rPr>
          <w:lang w:val="en-US"/>
        </w:rPr>
        <w:t>power spectrum closely (Fig. 13</w:t>
      </w:r>
      <w:r w:rsidR="004A69C3">
        <w:rPr>
          <w:lang w:val="en-US"/>
        </w:rPr>
        <w:t>a,b in the ma</w:t>
      </w:r>
      <w:r w:rsidR="00892328">
        <w:rPr>
          <w:lang w:val="en-US"/>
        </w:rPr>
        <w:t>in text, and Fig. S6a,b and S7</w:t>
      </w:r>
      <w:r w:rsidR="004A69C3">
        <w:rPr>
          <w:lang w:val="en-US"/>
        </w:rPr>
        <w:t>a,b). The fitted gamma parameters yield</w:t>
      </w:r>
      <w:r w:rsidR="002825FF">
        <w:rPr>
          <w:lang w:val="en-US"/>
        </w:rPr>
        <w:t>ed</w:t>
      </w:r>
      <w:r w:rsidR="004A69C3">
        <w:rPr>
          <w:lang w:val="en-US"/>
        </w:rPr>
        <w:t xml:space="preserve"> transit time distributions that correspond closely to those estimated by ensemble hydrograph separat</w:t>
      </w:r>
      <w:r w:rsidR="00892328">
        <w:rPr>
          <w:lang w:val="en-US"/>
        </w:rPr>
        <w:t>ion, both for 7-hourly (Fig. 13</w:t>
      </w:r>
      <w:r w:rsidR="004A69C3">
        <w:rPr>
          <w:lang w:val="en-US"/>
        </w:rPr>
        <w:t>c,d in the main</w:t>
      </w:r>
      <w:r w:rsidR="00892328">
        <w:rPr>
          <w:lang w:val="en-US"/>
        </w:rPr>
        <w:t xml:space="preserve"> text) and weekly data (Fig. S6</w:t>
      </w:r>
      <w:r w:rsidR="004A69C3">
        <w:rPr>
          <w:lang w:val="en-US"/>
        </w:rPr>
        <w:t>c,d and S7c,d).</w:t>
      </w:r>
    </w:p>
    <w:p w14:paraId="24A3EA3A" w14:textId="77777777" w:rsidR="00BE4EDC" w:rsidRDefault="00BE4EDC" w:rsidP="000A3AC3">
      <w:pPr>
        <w:rPr>
          <w:lang w:val="en-US"/>
        </w:rPr>
      </w:pPr>
    </w:p>
    <w:p w14:paraId="27666E59" w14:textId="4F28C6C6" w:rsidR="004A69C3" w:rsidRDefault="004A69C3" w:rsidP="00F75D75">
      <w:pPr>
        <w:rPr>
          <w:lang w:val="en-US"/>
        </w:rPr>
      </w:pPr>
      <w:r>
        <w:rPr>
          <w:lang w:val="en-US"/>
        </w:rPr>
        <w:t xml:space="preserve">Nevertheless, mean transit times calculated </w:t>
      </w:r>
      <w:r w:rsidR="00BE4EDC">
        <w:rPr>
          <w:lang w:val="en-US"/>
        </w:rPr>
        <w:t>by multiplying</w:t>
      </w:r>
      <w:r>
        <w:rPr>
          <w:lang w:val="en-US"/>
        </w:rPr>
        <w:t xml:space="preserve"> the scale factors </w:t>
      </w:r>
      <m:oMath>
        <m:r>
          <w:rPr>
            <w:rFonts w:ascii="Cambria Math" w:hAnsi="Cambria Math"/>
            <w:lang w:val="en-US"/>
          </w:rPr>
          <m:t>θ</m:t>
        </m:r>
      </m:oMath>
      <w:r>
        <w:rPr>
          <w:lang w:val="en-US"/>
        </w:rPr>
        <w:t xml:space="preserve"> </w:t>
      </w:r>
      <w:r w:rsidR="00BE4EDC">
        <w:rPr>
          <w:lang w:val="en-US"/>
        </w:rPr>
        <w:t>by</w:t>
      </w:r>
      <w:r>
        <w:rPr>
          <w:lang w:val="en-US"/>
        </w:rPr>
        <w:t xml:space="preserve"> the shape factors </w:t>
      </w:r>
      <m:oMath>
        <m:r>
          <w:rPr>
            <w:rFonts w:ascii="Cambria Math" w:hAnsi="Cambria Math"/>
            <w:lang w:val="en-US"/>
          </w:rPr>
          <m:t>k</m:t>
        </m:r>
      </m:oMath>
      <w:r>
        <w:rPr>
          <w:lang w:val="en-US"/>
        </w:rPr>
        <w:t xml:space="preserve"> of the fitted gamma distributions differ</w:t>
      </w:r>
      <w:r w:rsidR="002825FF">
        <w:rPr>
          <w:lang w:val="en-US"/>
        </w:rPr>
        <w:t>ed</w:t>
      </w:r>
      <w:r>
        <w:rPr>
          <w:lang w:val="en-US"/>
        </w:rPr>
        <w:t xml:space="preserve"> substantially, with longer mean transit times estimated from oxygen-18 than from deuterium (Table S1).</w:t>
      </w:r>
    </w:p>
    <w:p w14:paraId="57D0ABBD" w14:textId="77777777" w:rsidR="00A83AF9" w:rsidRDefault="00A83AF9" w:rsidP="00F75D75">
      <w:pPr>
        <w:rPr>
          <w:lang w:val="en-US"/>
        </w:rPr>
      </w:pPr>
    </w:p>
    <w:p w14:paraId="43C7C6DF" w14:textId="77777777" w:rsidR="004A69C3" w:rsidRPr="000A3AC3" w:rsidRDefault="004A69C3" w:rsidP="000A3AC3">
      <w:pPr>
        <w:rPr>
          <w:lang w:val="en-US"/>
        </w:rPr>
      </w:pPr>
    </w:p>
    <w:p w14:paraId="5C0F640A" w14:textId="76FD8A9E" w:rsidR="00923E56" w:rsidRDefault="00584ED1" w:rsidP="00584ED1">
      <w:pPr>
        <w:pStyle w:val="Caption"/>
        <w:rPr>
          <w:lang w:val="en-US"/>
        </w:rPr>
      </w:pPr>
      <w:r>
        <w:rPr>
          <w:lang w:val="en-US"/>
        </w:rPr>
        <w:lastRenderedPageBreak/>
        <w:t xml:space="preserve">Table S1: Shape factors </w:t>
      </w:r>
      <m:oMath>
        <m:r>
          <m:rPr>
            <m:sty m:val="bi"/>
          </m:rPr>
          <w:rPr>
            <w:rFonts w:ascii="Cambria Math" w:hAnsi="Cambria Math"/>
            <w:lang w:val="en-US"/>
          </w:rPr>
          <m:t>k</m:t>
        </m:r>
      </m:oMath>
      <w:r>
        <w:rPr>
          <w:lang w:val="en-US"/>
        </w:rPr>
        <w:t xml:space="preserve"> </w:t>
      </w:r>
      <w:r w:rsidRPr="001D1CC4">
        <w:rPr>
          <w:lang w:val="en-US"/>
        </w:rPr>
        <w:t>(± standard errors)</w:t>
      </w:r>
      <w:r>
        <w:rPr>
          <w:lang w:val="en-US"/>
        </w:rPr>
        <w:t xml:space="preserve"> and scale factors </w:t>
      </w:r>
      <m:oMath>
        <m:r>
          <m:rPr>
            <m:sty m:val="bi"/>
          </m:rPr>
          <w:rPr>
            <w:rFonts w:ascii="Cambria Math" w:hAnsi="Cambria Math"/>
            <w:lang w:val="en-US"/>
          </w:rPr>
          <m:t>θ</m:t>
        </m:r>
      </m:oMath>
      <w:r>
        <w:rPr>
          <w:lang w:val="en-US"/>
        </w:rPr>
        <w:t xml:space="preserve"> </w:t>
      </w:r>
      <w:r w:rsidRPr="001D1CC4">
        <w:rPr>
          <w:lang w:val="en-US"/>
        </w:rPr>
        <w:t>(± standard errors)</w:t>
      </w:r>
      <w:r>
        <w:rPr>
          <w:lang w:val="en-US"/>
        </w:rPr>
        <w:t xml:space="preserve"> of the fitted gamma distributions, and resulting mean transit times </w:t>
      </w:r>
      <w:r w:rsidRPr="001D1CC4">
        <w:rPr>
          <w:lang w:val="en-US"/>
        </w:rPr>
        <w:t>(± standard errors)</w:t>
      </w:r>
      <w:r>
        <w:rPr>
          <w:lang w:val="en-US"/>
        </w:rPr>
        <w:t xml:space="preserve"> derived from unweighted and volume-weighted spectra of oxygen-18 and deuterium at Upper Hafren (7-hourly sampling), Lower Hafren (weekly sampling), and Tanllwyth (weekly sampling). </w:t>
      </w:r>
    </w:p>
    <w:tbl>
      <w:tblPr>
        <w:tblW w:w="10040" w:type="dxa"/>
        <w:tblInd w:w="-5" w:type="dxa"/>
        <w:tblLayout w:type="fixed"/>
        <w:tblCellMar>
          <w:left w:w="70" w:type="dxa"/>
          <w:right w:w="70" w:type="dxa"/>
        </w:tblCellMar>
        <w:tblLook w:val="04A0" w:firstRow="1" w:lastRow="0" w:firstColumn="1" w:lastColumn="0" w:noHBand="0" w:noVBand="1"/>
      </w:tblPr>
      <w:tblGrid>
        <w:gridCol w:w="282"/>
        <w:gridCol w:w="1178"/>
        <w:gridCol w:w="250"/>
        <w:gridCol w:w="1839"/>
        <w:gridCol w:w="1880"/>
        <w:gridCol w:w="1880"/>
        <w:gridCol w:w="1881"/>
        <w:gridCol w:w="850"/>
      </w:tblGrid>
      <w:tr w:rsidR="000A3AC3" w:rsidRPr="002825FF" w14:paraId="35BB332C" w14:textId="77777777" w:rsidTr="000A3AC3">
        <w:trPr>
          <w:trHeight w:val="300"/>
        </w:trPr>
        <w:tc>
          <w:tcPr>
            <w:tcW w:w="282" w:type="dxa"/>
            <w:tcBorders>
              <w:top w:val="single" w:sz="4" w:space="0" w:color="auto"/>
              <w:bottom w:val="single" w:sz="4" w:space="0" w:color="auto"/>
            </w:tcBorders>
          </w:tcPr>
          <w:p w14:paraId="3E6F28B6" w14:textId="77777777" w:rsidR="000A3AC3" w:rsidRPr="002825FF" w:rsidRDefault="000A3AC3" w:rsidP="002825FF">
            <w:pPr>
              <w:spacing w:line="240" w:lineRule="auto"/>
              <w:jc w:val="center"/>
              <w:rPr>
                <w:szCs w:val="20"/>
                <w:lang w:val="en-US" w:eastAsia="de-CH"/>
              </w:rPr>
            </w:pPr>
          </w:p>
        </w:tc>
        <w:tc>
          <w:tcPr>
            <w:tcW w:w="1178" w:type="dxa"/>
            <w:tcBorders>
              <w:top w:val="single" w:sz="4" w:space="0" w:color="auto"/>
              <w:bottom w:val="single" w:sz="4" w:space="0" w:color="auto"/>
            </w:tcBorders>
            <w:shd w:val="clear" w:color="auto" w:fill="auto"/>
            <w:noWrap/>
            <w:hideMark/>
          </w:tcPr>
          <w:p w14:paraId="5E1CA882" w14:textId="3FAFAD36" w:rsidR="000A3AC3" w:rsidRPr="002825FF" w:rsidRDefault="000A3AC3" w:rsidP="002825FF">
            <w:pPr>
              <w:spacing w:line="240" w:lineRule="auto"/>
              <w:jc w:val="left"/>
              <w:rPr>
                <w:szCs w:val="20"/>
                <w:lang w:val="en-US" w:eastAsia="de-CH"/>
              </w:rPr>
            </w:pPr>
          </w:p>
        </w:tc>
        <w:tc>
          <w:tcPr>
            <w:tcW w:w="250" w:type="dxa"/>
            <w:tcBorders>
              <w:top w:val="single" w:sz="4" w:space="0" w:color="auto"/>
              <w:bottom w:val="single" w:sz="4" w:space="0" w:color="auto"/>
            </w:tcBorders>
          </w:tcPr>
          <w:p w14:paraId="74F8AB13" w14:textId="77777777" w:rsidR="000A3AC3" w:rsidRPr="002825FF" w:rsidRDefault="000A3AC3" w:rsidP="002825FF">
            <w:pPr>
              <w:spacing w:line="240" w:lineRule="auto"/>
              <w:jc w:val="left"/>
              <w:rPr>
                <w:szCs w:val="20"/>
                <w:lang w:val="en-US" w:eastAsia="de-CH"/>
              </w:rPr>
            </w:pPr>
          </w:p>
        </w:tc>
        <w:tc>
          <w:tcPr>
            <w:tcW w:w="1839" w:type="dxa"/>
            <w:tcBorders>
              <w:top w:val="single" w:sz="4" w:space="0" w:color="auto"/>
              <w:left w:val="nil"/>
              <w:bottom w:val="single" w:sz="4" w:space="0" w:color="auto"/>
            </w:tcBorders>
            <w:shd w:val="clear" w:color="auto" w:fill="auto"/>
            <w:noWrap/>
            <w:hideMark/>
          </w:tcPr>
          <w:p w14:paraId="0C795B32" w14:textId="7B688D10" w:rsidR="000A3AC3" w:rsidRPr="002825FF" w:rsidRDefault="000A3AC3" w:rsidP="002825FF">
            <w:pPr>
              <w:spacing w:line="240" w:lineRule="auto"/>
              <w:jc w:val="left"/>
              <w:rPr>
                <w:szCs w:val="20"/>
                <w:lang w:val="en-US" w:eastAsia="de-CH"/>
              </w:rPr>
            </w:pPr>
          </w:p>
        </w:tc>
        <w:tc>
          <w:tcPr>
            <w:tcW w:w="1880" w:type="dxa"/>
            <w:tcBorders>
              <w:top w:val="single" w:sz="4" w:space="0" w:color="auto"/>
              <w:bottom w:val="single" w:sz="4" w:space="0" w:color="auto"/>
            </w:tcBorders>
            <w:shd w:val="clear" w:color="auto" w:fill="auto"/>
            <w:noWrap/>
            <w:hideMark/>
          </w:tcPr>
          <w:p w14:paraId="2072152D" w14:textId="77777777" w:rsidR="000A3AC3" w:rsidRPr="002825FF" w:rsidRDefault="000A3AC3" w:rsidP="002825FF">
            <w:pPr>
              <w:spacing w:line="240" w:lineRule="auto"/>
              <w:jc w:val="center"/>
              <w:rPr>
                <w:szCs w:val="20"/>
                <w:lang w:val="de-CH" w:eastAsia="de-CH"/>
              </w:rPr>
            </w:pPr>
            <w:proofErr w:type="spellStart"/>
            <w:r w:rsidRPr="002825FF">
              <w:rPr>
                <w:szCs w:val="20"/>
                <w:lang w:val="de-CH" w:eastAsia="de-CH"/>
              </w:rPr>
              <w:t>Scale</w:t>
            </w:r>
            <w:proofErr w:type="spellEnd"/>
            <w:r w:rsidRPr="002825FF">
              <w:rPr>
                <w:szCs w:val="20"/>
                <w:lang w:val="de-CH" w:eastAsia="de-CH"/>
              </w:rPr>
              <w:t xml:space="preserve"> </w:t>
            </w:r>
            <w:proofErr w:type="spellStart"/>
            <w:r w:rsidRPr="002825FF">
              <w:rPr>
                <w:szCs w:val="20"/>
                <w:lang w:val="de-CH" w:eastAsia="de-CH"/>
              </w:rPr>
              <w:t>factor</w:t>
            </w:r>
            <w:proofErr w:type="spellEnd"/>
            <w:r w:rsidRPr="002825FF">
              <w:rPr>
                <w:szCs w:val="20"/>
                <w:lang w:val="de-CH" w:eastAsia="de-CH"/>
              </w:rPr>
              <w:t xml:space="preserve"> </w:t>
            </w:r>
          </w:p>
          <w:p w14:paraId="3AA2D4F5" w14:textId="15EC4109" w:rsidR="000A3AC3" w:rsidRPr="002825FF" w:rsidRDefault="000A3AC3" w:rsidP="002825FF">
            <w:pPr>
              <w:spacing w:line="240" w:lineRule="auto"/>
              <w:jc w:val="center"/>
              <w:rPr>
                <w:szCs w:val="20"/>
                <w:lang w:val="en-US" w:eastAsia="de-CH"/>
              </w:rPr>
            </w:pPr>
            <m:oMath>
              <m:r>
                <w:rPr>
                  <w:rFonts w:ascii="Cambria Math" w:hAnsi="Cambria Math"/>
                  <w:szCs w:val="20"/>
                  <w:lang w:val="de-CH" w:eastAsia="de-CH"/>
                </w:rPr>
                <m:t>θ</m:t>
              </m:r>
            </m:oMath>
            <w:r w:rsidRPr="002825FF">
              <w:rPr>
                <w:szCs w:val="20"/>
                <w:lang w:val="de-CH" w:eastAsia="de-CH"/>
              </w:rPr>
              <w:t xml:space="preserve"> (</w:t>
            </w:r>
            <w:proofErr w:type="spellStart"/>
            <w:r w:rsidRPr="002825FF">
              <w:rPr>
                <w:szCs w:val="20"/>
                <w:lang w:val="de-CH" w:eastAsia="de-CH"/>
              </w:rPr>
              <w:t>yr</w:t>
            </w:r>
            <w:proofErr w:type="spellEnd"/>
            <w:r w:rsidRPr="002825FF">
              <w:rPr>
                <w:szCs w:val="20"/>
                <w:lang w:val="de-CH" w:eastAsia="de-CH"/>
              </w:rPr>
              <w:t>)</w:t>
            </w:r>
          </w:p>
        </w:tc>
        <w:tc>
          <w:tcPr>
            <w:tcW w:w="1880" w:type="dxa"/>
            <w:tcBorders>
              <w:top w:val="single" w:sz="4" w:space="0" w:color="auto"/>
              <w:bottom w:val="single" w:sz="4" w:space="0" w:color="auto"/>
            </w:tcBorders>
            <w:shd w:val="clear" w:color="auto" w:fill="auto"/>
            <w:noWrap/>
            <w:hideMark/>
          </w:tcPr>
          <w:p w14:paraId="53981BBE" w14:textId="77777777" w:rsidR="000A3AC3" w:rsidRPr="002825FF" w:rsidRDefault="000A3AC3" w:rsidP="002825FF">
            <w:pPr>
              <w:spacing w:line="240" w:lineRule="auto"/>
              <w:jc w:val="center"/>
              <w:rPr>
                <w:szCs w:val="20"/>
                <w:lang w:val="en-US" w:eastAsia="de-CH"/>
              </w:rPr>
            </w:pPr>
            <w:r w:rsidRPr="002825FF">
              <w:rPr>
                <w:szCs w:val="20"/>
                <w:lang w:val="en-US" w:eastAsia="de-CH"/>
              </w:rPr>
              <w:t xml:space="preserve">Shape factor </w:t>
            </w:r>
          </w:p>
          <w:p w14:paraId="40C6185A" w14:textId="2C2CD533" w:rsidR="000A3AC3" w:rsidRPr="002825FF" w:rsidRDefault="000A3AC3" w:rsidP="002825FF">
            <w:pPr>
              <w:spacing w:line="240" w:lineRule="auto"/>
              <w:jc w:val="center"/>
              <w:rPr>
                <w:szCs w:val="20"/>
                <w:lang w:val="en-US" w:eastAsia="de-CH"/>
              </w:rPr>
            </w:pPr>
            <m:oMath>
              <m:r>
                <w:rPr>
                  <w:rFonts w:ascii="Cambria Math" w:hAnsi="Cambria Math"/>
                  <w:szCs w:val="20"/>
                  <w:lang w:val="en-US" w:eastAsia="de-CH"/>
                </w:rPr>
                <m:t>k</m:t>
              </m:r>
            </m:oMath>
            <w:r w:rsidR="002825FF">
              <w:rPr>
                <w:szCs w:val="20"/>
                <w:lang w:val="en-US" w:eastAsia="de-CH"/>
              </w:rPr>
              <w:t xml:space="preserve"> (-)</w:t>
            </w:r>
          </w:p>
        </w:tc>
        <w:tc>
          <w:tcPr>
            <w:tcW w:w="1881" w:type="dxa"/>
            <w:tcBorders>
              <w:top w:val="single" w:sz="4" w:space="0" w:color="auto"/>
              <w:bottom w:val="single" w:sz="4" w:space="0" w:color="auto"/>
            </w:tcBorders>
            <w:shd w:val="clear" w:color="auto" w:fill="auto"/>
            <w:noWrap/>
            <w:hideMark/>
          </w:tcPr>
          <w:p w14:paraId="01F54BED" w14:textId="77777777" w:rsidR="000A3AC3" w:rsidRPr="002825FF" w:rsidRDefault="000A3AC3" w:rsidP="002825FF">
            <w:pPr>
              <w:spacing w:line="240" w:lineRule="auto"/>
              <w:jc w:val="center"/>
              <w:rPr>
                <w:szCs w:val="20"/>
                <w:lang w:val="en-US" w:eastAsia="de-CH"/>
              </w:rPr>
            </w:pPr>
            <w:r w:rsidRPr="002825FF">
              <w:rPr>
                <w:szCs w:val="20"/>
                <w:lang w:val="en-US" w:eastAsia="de-CH"/>
              </w:rPr>
              <w:t xml:space="preserve">Mean transit time </w:t>
            </w:r>
          </w:p>
          <w:p w14:paraId="60192B0B" w14:textId="3A6E7F57" w:rsidR="000A3AC3" w:rsidRPr="002825FF" w:rsidRDefault="000A3AC3" w:rsidP="002825FF">
            <w:pPr>
              <w:spacing w:line="240" w:lineRule="auto"/>
              <w:jc w:val="center"/>
              <w:rPr>
                <w:szCs w:val="20"/>
                <w:lang w:val="en-US" w:eastAsia="de-CH"/>
              </w:rPr>
            </w:pPr>
            <w:r w:rsidRPr="002825FF">
              <w:rPr>
                <w:szCs w:val="20"/>
                <w:lang w:val="en-US" w:eastAsia="de-CH"/>
              </w:rPr>
              <w:t>(</w:t>
            </w:r>
            <w:proofErr w:type="spellStart"/>
            <w:r w:rsidRPr="002825FF">
              <w:rPr>
                <w:szCs w:val="20"/>
                <w:lang w:val="en-US" w:eastAsia="de-CH"/>
              </w:rPr>
              <w:t>yr</w:t>
            </w:r>
            <w:proofErr w:type="spellEnd"/>
            <w:r w:rsidRPr="002825FF">
              <w:rPr>
                <w:szCs w:val="20"/>
                <w:lang w:val="en-US" w:eastAsia="de-CH"/>
              </w:rPr>
              <w:t>)</w:t>
            </w:r>
          </w:p>
        </w:tc>
        <w:tc>
          <w:tcPr>
            <w:tcW w:w="850" w:type="dxa"/>
            <w:tcBorders>
              <w:top w:val="single" w:sz="4" w:space="0" w:color="auto"/>
              <w:bottom w:val="single" w:sz="4" w:space="0" w:color="auto"/>
            </w:tcBorders>
            <w:shd w:val="clear" w:color="auto" w:fill="auto"/>
            <w:noWrap/>
            <w:hideMark/>
          </w:tcPr>
          <w:p w14:paraId="40952BB9" w14:textId="297D6918" w:rsidR="000A3AC3" w:rsidRPr="002825FF" w:rsidRDefault="000A3AC3" w:rsidP="002825FF">
            <w:pPr>
              <w:spacing w:line="240" w:lineRule="auto"/>
              <w:jc w:val="center"/>
              <w:rPr>
                <w:szCs w:val="20"/>
                <w:lang w:val="en-US" w:eastAsia="de-CH"/>
              </w:rPr>
            </w:pPr>
            <w:proofErr w:type="spellStart"/>
            <w:r w:rsidRPr="002825FF">
              <w:rPr>
                <w:szCs w:val="20"/>
                <w:lang w:val="en-US" w:eastAsia="de-CH"/>
              </w:rPr>
              <w:t>Ratio</w:t>
            </w:r>
            <w:r w:rsidRPr="002825FF">
              <w:rPr>
                <w:szCs w:val="20"/>
                <w:vertAlign w:val="superscript"/>
                <w:lang w:val="en-US" w:eastAsia="de-CH"/>
              </w:rPr>
              <w:t>a</w:t>
            </w:r>
            <w:proofErr w:type="spellEnd"/>
          </w:p>
        </w:tc>
      </w:tr>
      <w:tr w:rsidR="000A3AC3" w:rsidRPr="002825FF" w14:paraId="729CD4F0" w14:textId="77777777" w:rsidTr="000A3AC3">
        <w:trPr>
          <w:trHeight w:val="300"/>
        </w:trPr>
        <w:tc>
          <w:tcPr>
            <w:tcW w:w="10040" w:type="dxa"/>
            <w:gridSpan w:val="8"/>
            <w:tcBorders>
              <w:top w:val="single" w:sz="4" w:space="0" w:color="auto"/>
            </w:tcBorders>
          </w:tcPr>
          <w:p w14:paraId="5EA81E3C" w14:textId="02C7F94F" w:rsidR="000A3AC3" w:rsidRPr="002825FF" w:rsidRDefault="000A3AC3" w:rsidP="002825FF">
            <w:pPr>
              <w:spacing w:line="240" w:lineRule="auto"/>
              <w:jc w:val="left"/>
              <w:rPr>
                <w:szCs w:val="20"/>
                <w:lang w:val="en-US" w:eastAsia="de-CH"/>
              </w:rPr>
            </w:pPr>
            <w:r w:rsidRPr="002825FF">
              <w:rPr>
                <w:szCs w:val="20"/>
                <w:lang w:val="en-US" w:eastAsia="de-CH"/>
              </w:rPr>
              <w:t>Upper Hafren (7-hourly sampling):</w:t>
            </w:r>
          </w:p>
        </w:tc>
      </w:tr>
      <w:tr w:rsidR="000A3AC3" w:rsidRPr="002825FF" w14:paraId="44DB154E" w14:textId="77777777" w:rsidTr="000A3AC3">
        <w:trPr>
          <w:trHeight w:val="300"/>
        </w:trPr>
        <w:tc>
          <w:tcPr>
            <w:tcW w:w="282" w:type="dxa"/>
          </w:tcPr>
          <w:p w14:paraId="6D2C9E6D" w14:textId="77777777" w:rsidR="000A3AC3" w:rsidRPr="002825FF" w:rsidRDefault="000A3AC3" w:rsidP="002825FF">
            <w:pPr>
              <w:spacing w:line="240" w:lineRule="auto"/>
              <w:rPr>
                <w:szCs w:val="20"/>
                <w:lang w:val="en-US" w:eastAsia="de-CH"/>
              </w:rPr>
            </w:pPr>
          </w:p>
        </w:tc>
        <w:tc>
          <w:tcPr>
            <w:tcW w:w="1178" w:type="dxa"/>
            <w:shd w:val="clear" w:color="auto" w:fill="auto"/>
            <w:noWrap/>
            <w:vAlign w:val="bottom"/>
            <w:hideMark/>
          </w:tcPr>
          <w:p w14:paraId="05A1DFAC" w14:textId="6C2C25B8" w:rsidR="000A3AC3" w:rsidRPr="002825FF" w:rsidRDefault="000A3AC3" w:rsidP="002825FF">
            <w:pPr>
              <w:spacing w:line="240" w:lineRule="auto"/>
              <w:rPr>
                <w:szCs w:val="20"/>
                <w:lang w:val="en-US" w:eastAsia="de-CH"/>
              </w:rPr>
            </w:pPr>
            <w:r w:rsidRPr="002825FF">
              <w:rPr>
                <w:szCs w:val="20"/>
                <w:lang w:val="en-US" w:eastAsia="de-CH"/>
              </w:rPr>
              <w:t>Oxygen-18</w:t>
            </w:r>
          </w:p>
        </w:tc>
        <w:tc>
          <w:tcPr>
            <w:tcW w:w="250" w:type="dxa"/>
          </w:tcPr>
          <w:p w14:paraId="0336B045" w14:textId="016B6749" w:rsidR="000A3AC3" w:rsidRPr="002825FF" w:rsidRDefault="000A3AC3" w:rsidP="002825FF">
            <w:pPr>
              <w:spacing w:line="240" w:lineRule="auto"/>
              <w:jc w:val="left"/>
              <w:rPr>
                <w:szCs w:val="20"/>
                <w:lang w:val="de-CH" w:eastAsia="de-CH"/>
              </w:rPr>
            </w:pPr>
            <w:r w:rsidRPr="002825FF">
              <w:rPr>
                <w:szCs w:val="20"/>
                <w:lang w:val="de-CH" w:eastAsia="de-CH"/>
              </w:rPr>
              <w:t xml:space="preserve">– </w:t>
            </w:r>
          </w:p>
        </w:tc>
        <w:tc>
          <w:tcPr>
            <w:tcW w:w="1839" w:type="dxa"/>
            <w:tcBorders>
              <w:left w:val="nil"/>
            </w:tcBorders>
            <w:shd w:val="clear" w:color="auto" w:fill="auto"/>
            <w:noWrap/>
            <w:vAlign w:val="bottom"/>
            <w:hideMark/>
          </w:tcPr>
          <w:p w14:paraId="2E0E6CED" w14:textId="2E90C733" w:rsidR="000A3AC3" w:rsidRPr="002825FF" w:rsidRDefault="000A3AC3" w:rsidP="002825FF">
            <w:pPr>
              <w:spacing w:line="240" w:lineRule="auto"/>
              <w:jc w:val="left"/>
              <w:rPr>
                <w:szCs w:val="20"/>
                <w:lang w:val="de-CH" w:eastAsia="de-CH"/>
              </w:rPr>
            </w:pPr>
            <w:proofErr w:type="spellStart"/>
            <w:r w:rsidRPr="002825FF">
              <w:rPr>
                <w:szCs w:val="20"/>
                <w:lang w:val="de-CH" w:eastAsia="de-CH"/>
              </w:rPr>
              <w:t>unweighted</w:t>
            </w:r>
            <w:proofErr w:type="spellEnd"/>
          </w:p>
        </w:tc>
        <w:tc>
          <w:tcPr>
            <w:tcW w:w="1880" w:type="dxa"/>
            <w:shd w:val="clear" w:color="auto" w:fill="auto"/>
            <w:noWrap/>
            <w:vAlign w:val="bottom"/>
            <w:hideMark/>
          </w:tcPr>
          <w:p w14:paraId="0C23C36D" w14:textId="682CBDCA" w:rsidR="000A3AC3" w:rsidRPr="002825FF" w:rsidRDefault="000A3AC3" w:rsidP="002825FF">
            <w:pPr>
              <w:spacing w:line="240" w:lineRule="auto"/>
              <w:jc w:val="center"/>
              <w:rPr>
                <w:szCs w:val="20"/>
                <w:lang w:val="de-CH" w:eastAsia="de-CH"/>
              </w:rPr>
            </w:pPr>
            <w:r w:rsidRPr="002825FF">
              <w:rPr>
                <w:szCs w:val="20"/>
                <w:lang w:val="de-CH" w:eastAsia="de-CH"/>
              </w:rPr>
              <w:t>80.540 ± 16.718</w:t>
            </w:r>
          </w:p>
        </w:tc>
        <w:tc>
          <w:tcPr>
            <w:tcW w:w="1880" w:type="dxa"/>
            <w:shd w:val="clear" w:color="auto" w:fill="auto"/>
            <w:noWrap/>
            <w:vAlign w:val="bottom"/>
            <w:hideMark/>
          </w:tcPr>
          <w:p w14:paraId="2DBE2471" w14:textId="386468F6" w:rsidR="000A3AC3" w:rsidRPr="002825FF" w:rsidRDefault="000A3AC3" w:rsidP="002825FF">
            <w:pPr>
              <w:spacing w:line="240" w:lineRule="auto"/>
              <w:jc w:val="center"/>
              <w:rPr>
                <w:szCs w:val="20"/>
                <w:lang w:val="de-CH" w:eastAsia="de-CH"/>
              </w:rPr>
            </w:pPr>
            <w:r w:rsidRPr="002825FF">
              <w:rPr>
                <w:szCs w:val="20"/>
                <w:lang w:val="de-CH" w:eastAsia="de-CH"/>
              </w:rPr>
              <w:t>0.276 ± 0.005</w:t>
            </w:r>
          </w:p>
        </w:tc>
        <w:tc>
          <w:tcPr>
            <w:tcW w:w="1881" w:type="dxa"/>
            <w:shd w:val="clear" w:color="auto" w:fill="auto"/>
            <w:noWrap/>
            <w:vAlign w:val="bottom"/>
            <w:hideMark/>
          </w:tcPr>
          <w:p w14:paraId="0486CB6C" w14:textId="5E2817B3" w:rsidR="000A3AC3" w:rsidRPr="002825FF" w:rsidRDefault="000A3AC3" w:rsidP="002825FF">
            <w:pPr>
              <w:spacing w:line="240" w:lineRule="auto"/>
              <w:jc w:val="center"/>
              <w:rPr>
                <w:szCs w:val="20"/>
                <w:lang w:val="de-CH" w:eastAsia="de-CH"/>
              </w:rPr>
            </w:pPr>
            <w:r w:rsidRPr="002825FF">
              <w:rPr>
                <w:szCs w:val="20"/>
                <w:lang w:val="de-CH" w:eastAsia="de-CH"/>
              </w:rPr>
              <w:t>22.209 ± 4.627</w:t>
            </w:r>
          </w:p>
        </w:tc>
        <w:tc>
          <w:tcPr>
            <w:tcW w:w="850" w:type="dxa"/>
            <w:vMerge w:val="restart"/>
            <w:shd w:val="clear" w:color="auto" w:fill="auto"/>
            <w:noWrap/>
            <w:vAlign w:val="center"/>
            <w:hideMark/>
          </w:tcPr>
          <w:p w14:paraId="4236A169" w14:textId="6D58D0F2" w:rsidR="000A3AC3" w:rsidRPr="002825FF" w:rsidRDefault="000A3AC3" w:rsidP="002825FF">
            <w:pPr>
              <w:spacing w:line="240" w:lineRule="auto"/>
              <w:jc w:val="center"/>
              <w:rPr>
                <w:szCs w:val="20"/>
                <w:lang w:val="de-CH" w:eastAsia="de-CH"/>
              </w:rPr>
            </w:pPr>
            <w:r w:rsidRPr="002825FF">
              <w:rPr>
                <w:szCs w:val="20"/>
                <w:lang w:val="de-CH" w:eastAsia="de-CH"/>
              </w:rPr>
              <w:t>35.124</w:t>
            </w:r>
          </w:p>
        </w:tc>
      </w:tr>
      <w:tr w:rsidR="000A3AC3" w:rsidRPr="002825FF" w14:paraId="24A17947" w14:textId="77777777" w:rsidTr="000A3AC3">
        <w:trPr>
          <w:trHeight w:val="300"/>
        </w:trPr>
        <w:tc>
          <w:tcPr>
            <w:tcW w:w="282" w:type="dxa"/>
          </w:tcPr>
          <w:p w14:paraId="55D84A91" w14:textId="77777777" w:rsidR="000A3AC3" w:rsidRPr="002825FF" w:rsidRDefault="000A3AC3" w:rsidP="002825FF">
            <w:pPr>
              <w:spacing w:line="240" w:lineRule="auto"/>
              <w:rPr>
                <w:szCs w:val="20"/>
                <w:lang w:val="de-CH" w:eastAsia="de-CH"/>
              </w:rPr>
            </w:pPr>
          </w:p>
        </w:tc>
        <w:tc>
          <w:tcPr>
            <w:tcW w:w="1178" w:type="dxa"/>
            <w:shd w:val="clear" w:color="auto" w:fill="auto"/>
            <w:noWrap/>
            <w:vAlign w:val="bottom"/>
            <w:hideMark/>
          </w:tcPr>
          <w:p w14:paraId="23CD3B36" w14:textId="55C4CDA5" w:rsidR="000A3AC3" w:rsidRPr="002825FF" w:rsidRDefault="000A3AC3" w:rsidP="002825FF">
            <w:pPr>
              <w:spacing w:line="240" w:lineRule="auto"/>
              <w:rPr>
                <w:szCs w:val="20"/>
                <w:lang w:val="de-CH" w:eastAsia="de-CH"/>
              </w:rPr>
            </w:pPr>
            <w:r w:rsidRPr="002825FF">
              <w:rPr>
                <w:szCs w:val="20"/>
                <w:lang w:val="de-CH" w:eastAsia="de-CH"/>
              </w:rPr>
              <w:t>Deuterium</w:t>
            </w:r>
          </w:p>
        </w:tc>
        <w:tc>
          <w:tcPr>
            <w:tcW w:w="250" w:type="dxa"/>
          </w:tcPr>
          <w:p w14:paraId="13807C50" w14:textId="25EE9089" w:rsidR="000A3AC3" w:rsidRPr="002825FF" w:rsidRDefault="000A3AC3" w:rsidP="002825FF">
            <w:pPr>
              <w:spacing w:line="240" w:lineRule="auto"/>
              <w:jc w:val="left"/>
              <w:rPr>
                <w:szCs w:val="20"/>
                <w:lang w:val="de-CH" w:eastAsia="de-CH"/>
              </w:rPr>
            </w:pPr>
            <w:r w:rsidRPr="002825FF">
              <w:rPr>
                <w:szCs w:val="20"/>
                <w:lang w:val="de-CH" w:eastAsia="de-CH"/>
              </w:rPr>
              <w:t>–</w:t>
            </w:r>
          </w:p>
        </w:tc>
        <w:tc>
          <w:tcPr>
            <w:tcW w:w="1839" w:type="dxa"/>
            <w:tcBorders>
              <w:left w:val="nil"/>
            </w:tcBorders>
            <w:shd w:val="clear" w:color="auto" w:fill="auto"/>
            <w:noWrap/>
            <w:vAlign w:val="bottom"/>
            <w:hideMark/>
          </w:tcPr>
          <w:p w14:paraId="13655359" w14:textId="6414F824" w:rsidR="000A3AC3" w:rsidRPr="002825FF" w:rsidRDefault="000A3AC3" w:rsidP="002825FF">
            <w:pPr>
              <w:spacing w:line="240" w:lineRule="auto"/>
              <w:jc w:val="left"/>
              <w:rPr>
                <w:szCs w:val="20"/>
                <w:lang w:val="de-CH" w:eastAsia="de-CH"/>
              </w:rPr>
            </w:pPr>
            <w:proofErr w:type="spellStart"/>
            <w:r w:rsidRPr="002825FF">
              <w:rPr>
                <w:szCs w:val="20"/>
                <w:lang w:val="de-CH" w:eastAsia="de-CH"/>
              </w:rPr>
              <w:t>unweighted</w:t>
            </w:r>
            <w:proofErr w:type="spellEnd"/>
          </w:p>
        </w:tc>
        <w:tc>
          <w:tcPr>
            <w:tcW w:w="1880" w:type="dxa"/>
            <w:shd w:val="clear" w:color="auto" w:fill="auto"/>
            <w:noWrap/>
            <w:vAlign w:val="bottom"/>
            <w:hideMark/>
          </w:tcPr>
          <w:p w14:paraId="46CC46DF" w14:textId="0C9195F1" w:rsidR="000A3AC3" w:rsidRPr="002825FF" w:rsidRDefault="000A3AC3" w:rsidP="002825FF">
            <w:pPr>
              <w:spacing w:line="240" w:lineRule="auto"/>
              <w:jc w:val="center"/>
              <w:rPr>
                <w:szCs w:val="20"/>
                <w:lang w:val="de-CH" w:eastAsia="de-CH"/>
              </w:rPr>
            </w:pPr>
            <w:r w:rsidRPr="002825FF">
              <w:rPr>
                <w:szCs w:val="20"/>
                <w:lang w:val="de-CH" w:eastAsia="de-CH"/>
              </w:rPr>
              <w:t>1.353 ± 0.128</w:t>
            </w:r>
          </w:p>
        </w:tc>
        <w:tc>
          <w:tcPr>
            <w:tcW w:w="1880" w:type="dxa"/>
            <w:shd w:val="clear" w:color="auto" w:fill="auto"/>
            <w:noWrap/>
            <w:vAlign w:val="bottom"/>
            <w:hideMark/>
          </w:tcPr>
          <w:p w14:paraId="7913E7A4" w14:textId="423264C8" w:rsidR="000A3AC3" w:rsidRPr="002825FF" w:rsidRDefault="000A3AC3" w:rsidP="002825FF">
            <w:pPr>
              <w:spacing w:line="240" w:lineRule="auto"/>
              <w:jc w:val="center"/>
              <w:rPr>
                <w:szCs w:val="20"/>
                <w:lang w:val="de-CH" w:eastAsia="de-CH"/>
              </w:rPr>
            </w:pPr>
            <w:r w:rsidRPr="002825FF">
              <w:rPr>
                <w:szCs w:val="20"/>
                <w:lang w:val="de-CH" w:eastAsia="de-CH"/>
              </w:rPr>
              <w:t>0.467 ± 0.006</w:t>
            </w:r>
          </w:p>
        </w:tc>
        <w:tc>
          <w:tcPr>
            <w:tcW w:w="1881" w:type="dxa"/>
            <w:shd w:val="clear" w:color="auto" w:fill="auto"/>
            <w:noWrap/>
            <w:vAlign w:val="bottom"/>
            <w:hideMark/>
          </w:tcPr>
          <w:p w14:paraId="24B228B8" w14:textId="1BAF454C" w:rsidR="000A3AC3" w:rsidRPr="002825FF" w:rsidRDefault="000A3AC3" w:rsidP="002825FF">
            <w:pPr>
              <w:spacing w:line="240" w:lineRule="auto"/>
              <w:jc w:val="center"/>
              <w:rPr>
                <w:szCs w:val="20"/>
                <w:lang w:val="de-CH" w:eastAsia="de-CH"/>
              </w:rPr>
            </w:pPr>
            <w:r w:rsidRPr="002825FF">
              <w:rPr>
                <w:szCs w:val="20"/>
                <w:lang w:val="de-CH" w:eastAsia="de-CH"/>
              </w:rPr>
              <w:t>0.632 ± 0.060</w:t>
            </w:r>
          </w:p>
        </w:tc>
        <w:tc>
          <w:tcPr>
            <w:tcW w:w="850" w:type="dxa"/>
            <w:vMerge/>
            <w:shd w:val="clear" w:color="auto" w:fill="auto"/>
            <w:noWrap/>
            <w:vAlign w:val="center"/>
            <w:hideMark/>
          </w:tcPr>
          <w:p w14:paraId="61D0DC54" w14:textId="17BDF47B" w:rsidR="000A3AC3" w:rsidRPr="002825FF" w:rsidRDefault="000A3AC3" w:rsidP="002825FF">
            <w:pPr>
              <w:spacing w:line="240" w:lineRule="auto"/>
              <w:jc w:val="center"/>
              <w:rPr>
                <w:szCs w:val="20"/>
                <w:lang w:val="de-CH" w:eastAsia="de-CH"/>
              </w:rPr>
            </w:pPr>
          </w:p>
        </w:tc>
      </w:tr>
      <w:tr w:rsidR="000A3AC3" w:rsidRPr="002825FF" w14:paraId="429D8568" w14:textId="77777777" w:rsidTr="000A3AC3">
        <w:trPr>
          <w:trHeight w:val="300"/>
        </w:trPr>
        <w:tc>
          <w:tcPr>
            <w:tcW w:w="282" w:type="dxa"/>
          </w:tcPr>
          <w:p w14:paraId="65B78521" w14:textId="77777777" w:rsidR="000A3AC3" w:rsidRPr="002825FF" w:rsidRDefault="000A3AC3" w:rsidP="002825FF">
            <w:pPr>
              <w:spacing w:line="240" w:lineRule="auto"/>
              <w:rPr>
                <w:szCs w:val="20"/>
                <w:lang w:val="de-CH" w:eastAsia="de-CH"/>
              </w:rPr>
            </w:pPr>
          </w:p>
        </w:tc>
        <w:tc>
          <w:tcPr>
            <w:tcW w:w="1178" w:type="dxa"/>
            <w:shd w:val="clear" w:color="auto" w:fill="auto"/>
            <w:noWrap/>
            <w:vAlign w:val="bottom"/>
            <w:hideMark/>
          </w:tcPr>
          <w:p w14:paraId="61B66ECF" w14:textId="6546191A" w:rsidR="000A3AC3" w:rsidRPr="002825FF" w:rsidRDefault="000A3AC3" w:rsidP="002825FF">
            <w:pPr>
              <w:spacing w:line="240" w:lineRule="auto"/>
              <w:rPr>
                <w:szCs w:val="20"/>
                <w:lang w:val="de-CH" w:eastAsia="de-CH"/>
              </w:rPr>
            </w:pPr>
            <w:r w:rsidRPr="002825FF">
              <w:rPr>
                <w:szCs w:val="20"/>
                <w:lang w:val="de-CH" w:eastAsia="de-CH"/>
              </w:rPr>
              <w:t>Oxygen-18</w:t>
            </w:r>
          </w:p>
        </w:tc>
        <w:tc>
          <w:tcPr>
            <w:tcW w:w="250" w:type="dxa"/>
          </w:tcPr>
          <w:p w14:paraId="4CCC2A1F" w14:textId="58C27814" w:rsidR="000A3AC3" w:rsidRPr="002825FF" w:rsidRDefault="000A3AC3" w:rsidP="002825FF">
            <w:pPr>
              <w:spacing w:line="240" w:lineRule="auto"/>
              <w:jc w:val="left"/>
              <w:rPr>
                <w:szCs w:val="20"/>
                <w:lang w:val="de-CH" w:eastAsia="de-CH"/>
              </w:rPr>
            </w:pPr>
            <w:r w:rsidRPr="002825FF">
              <w:rPr>
                <w:szCs w:val="20"/>
                <w:lang w:val="de-CH" w:eastAsia="de-CH"/>
              </w:rPr>
              <w:t>–</w:t>
            </w:r>
          </w:p>
        </w:tc>
        <w:tc>
          <w:tcPr>
            <w:tcW w:w="1839" w:type="dxa"/>
            <w:tcBorders>
              <w:left w:val="nil"/>
            </w:tcBorders>
            <w:shd w:val="clear" w:color="auto" w:fill="auto"/>
            <w:noWrap/>
            <w:vAlign w:val="bottom"/>
            <w:hideMark/>
          </w:tcPr>
          <w:p w14:paraId="2EC5E91F" w14:textId="432DBD83" w:rsidR="000A3AC3" w:rsidRPr="002825FF" w:rsidRDefault="000A3AC3" w:rsidP="002825FF">
            <w:pPr>
              <w:spacing w:line="240" w:lineRule="auto"/>
              <w:jc w:val="left"/>
              <w:rPr>
                <w:szCs w:val="20"/>
                <w:lang w:val="de-CH" w:eastAsia="de-CH"/>
              </w:rPr>
            </w:pPr>
            <w:proofErr w:type="spellStart"/>
            <w:r w:rsidRPr="002825FF">
              <w:rPr>
                <w:szCs w:val="20"/>
                <w:lang w:val="de-CH" w:eastAsia="de-CH"/>
              </w:rPr>
              <w:t>volume-weighted</w:t>
            </w:r>
            <w:proofErr w:type="spellEnd"/>
          </w:p>
        </w:tc>
        <w:tc>
          <w:tcPr>
            <w:tcW w:w="1880" w:type="dxa"/>
            <w:shd w:val="clear" w:color="auto" w:fill="auto"/>
            <w:noWrap/>
            <w:vAlign w:val="bottom"/>
            <w:hideMark/>
          </w:tcPr>
          <w:p w14:paraId="339E0E6D" w14:textId="268BC5DA" w:rsidR="000A3AC3" w:rsidRPr="002825FF" w:rsidRDefault="000A3AC3" w:rsidP="002825FF">
            <w:pPr>
              <w:spacing w:line="240" w:lineRule="auto"/>
              <w:jc w:val="center"/>
              <w:rPr>
                <w:szCs w:val="20"/>
                <w:lang w:val="de-CH" w:eastAsia="de-CH"/>
              </w:rPr>
            </w:pPr>
            <w:r w:rsidRPr="002825FF">
              <w:rPr>
                <w:szCs w:val="20"/>
                <w:lang w:val="de-CH" w:eastAsia="de-CH"/>
              </w:rPr>
              <w:t>0.323 ± 0.025</w:t>
            </w:r>
          </w:p>
        </w:tc>
        <w:tc>
          <w:tcPr>
            <w:tcW w:w="1880" w:type="dxa"/>
            <w:shd w:val="clear" w:color="auto" w:fill="auto"/>
            <w:noWrap/>
            <w:vAlign w:val="bottom"/>
            <w:hideMark/>
          </w:tcPr>
          <w:p w14:paraId="6F32989F" w14:textId="290045E9" w:rsidR="000A3AC3" w:rsidRPr="002825FF" w:rsidRDefault="000A3AC3" w:rsidP="002825FF">
            <w:pPr>
              <w:spacing w:line="240" w:lineRule="auto"/>
              <w:jc w:val="center"/>
              <w:rPr>
                <w:szCs w:val="20"/>
                <w:lang w:val="de-CH" w:eastAsia="de-CH"/>
              </w:rPr>
            </w:pPr>
            <w:r w:rsidRPr="002825FF">
              <w:rPr>
                <w:szCs w:val="20"/>
                <w:lang w:val="de-CH" w:eastAsia="de-CH"/>
              </w:rPr>
              <w:t>0.434 ± 0.005</w:t>
            </w:r>
          </w:p>
        </w:tc>
        <w:tc>
          <w:tcPr>
            <w:tcW w:w="1881" w:type="dxa"/>
            <w:shd w:val="clear" w:color="auto" w:fill="auto"/>
            <w:noWrap/>
            <w:vAlign w:val="bottom"/>
            <w:hideMark/>
          </w:tcPr>
          <w:p w14:paraId="7D746FE4" w14:textId="7203845A" w:rsidR="000A3AC3" w:rsidRPr="002825FF" w:rsidRDefault="000A3AC3" w:rsidP="002825FF">
            <w:pPr>
              <w:spacing w:line="240" w:lineRule="auto"/>
              <w:jc w:val="center"/>
              <w:rPr>
                <w:szCs w:val="20"/>
                <w:lang w:val="de-CH" w:eastAsia="de-CH"/>
              </w:rPr>
            </w:pPr>
            <w:r w:rsidRPr="002825FF">
              <w:rPr>
                <w:szCs w:val="20"/>
                <w:lang w:val="de-CH" w:eastAsia="de-CH"/>
              </w:rPr>
              <w:t>0.140 ± 0.011</w:t>
            </w:r>
          </w:p>
        </w:tc>
        <w:tc>
          <w:tcPr>
            <w:tcW w:w="850" w:type="dxa"/>
            <w:vMerge w:val="restart"/>
            <w:shd w:val="clear" w:color="auto" w:fill="auto"/>
            <w:noWrap/>
            <w:vAlign w:val="center"/>
            <w:hideMark/>
          </w:tcPr>
          <w:p w14:paraId="76F57BDB" w14:textId="7E49A84E" w:rsidR="000A3AC3" w:rsidRPr="002825FF" w:rsidRDefault="000A3AC3" w:rsidP="002825FF">
            <w:pPr>
              <w:spacing w:line="240" w:lineRule="auto"/>
              <w:jc w:val="center"/>
              <w:rPr>
                <w:szCs w:val="20"/>
                <w:lang w:val="de-CH" w:eastAsia="de-CH"/>
              </w:rPr>
            </w:pPr>
            <w:r w:rsidRPr="002825FF">
              <w:rPr>
                <w:szCs w:val="20"/>
                <w:lang w:val="de-CH" w:eastAsia="de-CH"/>
              </w:rPr>
              <w:t>1.708</w:t>
            </w:r>
          </w:p>
        </w:tc>
      </w:tr>
      <w:tr w:rsidR="000A3AC3" w:rsidRPr="002825FF" w14:paraId="182B1880" w14:textId="77777777" w:rsidTr="000A3AC3">
        <w:trPr>
          <w:trHeight w:val="300"/>
        </w:trPr>
        <w:tc>
          <w:tcPr>
            <w:tcW w:w="282" w:type="dxa"/>
            <w:tcBorders>
              <w:bottom w:val="single" w:sz="4" w:space="0" w:color="auto"/>
            </w:tcBorders>
          </w:tcPr>
          <w:p w14:paraId="2DA8792D" w14:textId="77777777" w:rsidR="000A3AC3" w:rsidRPr="002825FF" w:rsidRDefault="000A3AC3" w:rsidP="002825FF">
            <w:pPr>
              <w:spacing w:line="240" w:lineRule="auto"/>
              <w:rPr>
                <w:szCs w:val="20"/>
                <w:lang w:val="de-CH" w:eastAsia="de-CH"/>
              </w:rPr>
            </w:pPr>
          </w:p>
        </w:tc>
        <w:tc>
          <w:tcPr>
            <w:tcW w:w="1178" w:type="dxa"/>
            <w:tcBorders>
              <w:bottom w:val="single" w:sz="4" w:space="0" w:color="auto"/>
            </w:tcBorders>
            <w:shd w:val="clear" w:color="auto" w:fill="auto"/>
            <w:noWrap/>
            <w:vAlign w:val="bottom"/>
            <w:hideMark/>
          </w:tcPr>
          <w:p w14:paraId="3013C292" w14:textId="1D1FF787" w:rsidR="000A3AC3" w:rsidRPr="002825FF" w:rsidRDefault="000A3AC3" w:rsidP="002825FF">
            <w:pPr>
              <w:spacing w:line="240" w:lineRule="auto"/>
              <w:rPr>
                <w:szCs w:val="20"/>
                <w:lang w:val="de-CH" w:eastAsia="de-CH"/>
              </w:rPr>
            </w:pPr>
            <w:r w:rsidRPr="002825FF">
              <w:rPr>
                <w:szCs w:val="20"/>
                <w:lang w:val="de-CH" w:eastAsia="de-CH"/>
              </w:rPr>
              <w:t>Deuterium</w:t>
            </w:r>
          </w:p>
        </w:tc>
        <w:tc>
          <w:tcPr>
            <w:tcW w:w="250" w:type="dxa"/>
            <w:tcBorders>
              <w:bottom w:val="single" w:sz="4" w:space="0" w:color="auto"/>
            </w:tcBorders>
          </w:tcPr>
          <w:p w14:paraId="69FBCCEE" w14:textId="3A75C7B5" w:rsidR="000A3AC3" w:rsidRPr="002825FF" w:rsidRDefault="000A3AC3" w:rsidP="002825FF">
            <w:pPr>
              <w:spacing w:line="240" w:lineRule="auto"/>
              <w:jc w:val="left"/>
              <w:rPr>
                <w:szCs w:val="20"/>
                <w:lang w:val="de-CH" w:eastAsia="de-CH"/>
              </w:rPr>
            </w:pPr>
            <w:r w:rsidRPr="002825FF">
              <w:rPr>
                <w:szCs w:val="20"/>
                <w:lang w:val="de-CH" w:eastAsia="de-CH"/>
              </w:rPr>
              <w:t>–</w:t>
            </w:r>
          </w:p>
        </w:tc>
        <w:tc>
          <w:tcPr>
            <w:tcW w:w="1839" w:type="dxa"/>
            <w:tcBorders>
              <w:left w:val="nil"/>
              <w:bottom w:val="single" w:sz="4" w:space="0" w:color="auto"/>
            </w:tcBorders>
            <w:shd w:val="clear" w:color="auto" w:fill="auto"/>
            <w:noWrap/>
            <w:vAlign w:val="bottom"/>
            <w:hideMark/>
          </w:tcPr>
          <w:p w14:paraId="011C2213" w14:textId="4F78D7CE" w:rsidR="000A3AC3" w:rsidRPr="002825FF" w:rsidRDefault="000A3AC3" w:rsidP="002825FF">
            <w:pPr>
              <w:spacing w:line="240" w:lineRule="auto"/>
              <w:jc w:val="left"/>
              <w:rPr>
                <w:szCs w:val="20"/>
                <w:lang w:val="de-CH" w:eastAsia="de-CH"/>
              </w:rPr>
            </w:pPr>
            <w:proofErr w:type="spellStart"/>
            <w:r w:rsidRPr="002825FF">
              <w:rPr>
                <w:szCs w:val="20"/>
                <w:lang w:val="de-CH" w:eastAsia="de-CH"/>
              </w:rPr>
              <w:t>volume-weighted</w:t>
            </w:r>
            <w:proofErr w:type="spellEnd"/>
          </w:p>
        </w:tc>
        <w:tc>
          <w:tcPr>
            <w:tcW w:w="1880" w:type="dxa"/>
            <w:tcBorders>
              <w:bottom w:val="single" w:sz="4" w:space="0" w:color="auto"/>
            </w:tcBorders>
            <w:shd w:val="clear" w:color="auto" w:fill="auto"/>
            <w:noWrap/>
            <w:vAlign w:val="bottom"/>
            <w:hideMark/>
          </w:tcPr>
          <w:p w14:paraId="41D95BFB" w14:textId="7C8C6C5E" w:rsidR="000A3AC3" w:rsidRPr="002825FF" w:rsidRDefault="000A3AC3" w:rsidP="002825FF">
            <w:pPr>
              <w:spacing w:line="240" w:lineRule="auto"/>
              <w:jc w:val="center"/>
              <w:rPr>
                <w:szCs w:val="20"/>
                <w:lang w:val="de-CH" w:eastAsia="de-CH"/>
              </w:rPr>
            </w:pPr>
            <w:r w:rsidRPr="002825FF">
              <w:rPr>
                <w:szCs w:val="20"/>
                <w:lang w:val="de-CH" w:eastAsia="de-CH"/>
              </w:rPr>
              <w:t>0.159 ± 0.012</w:t>
            </w:r>
          </w:p>
        </w:tc>
        <w:tc>
          <w:tcPr>
            <w:tcW w:w="1880" w:type="dxa"/>
            <w:tcBorders>
              <w:bottom w:val="single" w:sz="4" w:space="0" w:color="auto"/>
            </w:tcBorders>
            <w:shd w:val="clear" w:color="auto" w:fill="auto"/>
            <w:noWrap/>
            <w:vAlign w:val="bottom"/>
            <w:hideMark/>
          </w:tcPr>
          <w:p w14:paraId="084813F6" w14:textId="7FE7DE68" w:rsidR="000A3AC3" w:rsidRPr="002825FF" w:rsidRDefault="000A3AC3" w:rsidP="002825FF">
            <w:pPr>
              <w:spacing w:line="240" w:lineRule="auto"/>
              <w:jc w:val="center"/>
              <w:rPr>
                <w:szCs w:val="20"/>
                <w:lang w:val="de-CH" w:eastAsia="de-CH"/>
              </w:rPr>
            </w:pPr>
            <w:r w:rsidRPr="002825FF">
              <w:rPr>
                <w:szCs w:val="20"/>
                <w:lang w:val="de-CH" w:eastAsia="de-CH"/>
              </w:rPr>
              <w:t>0.517 ± 0.007</w:t>
            </w:r>
          </w:p>
        </w:tc>
        <w:tc>
          <w:tcPr>
            <w:tcW w:w="1881" w:type="dxa"/>
            <w:tcBorders>
              <w:bottom w:val="single" w:sz="4" w:space="0" w:color="auto"/>
            </w:tcBorders>
            <w:shd w:val="clear" w:color="auto" w:fill="auto"/>
            <w:noWrap/>
            <w:vAlign w:val="bottom"/>
            <w:hideMark/>
          </w:tcPr>
          <w:p w14:paraId="3B7CE785" w14:textId="6FA62FE0" w:rsidR="000A3AC3" w:rsidRPr="002825FF" w:rsidRDefault="000A3AC3" w:rsidP="002825FF">
            <w:pPr>
              <w:spacing w:line="240" w:lineRule="auto"/>
              <w:jc w:val="center"/>
              <w:rPr>
                <w:szCs w:val="20"/>
                <w:lang w:val="de-CH" w:eastAsia="de-CH"/>
              </w:rPr>
            </w:pPr>
            <w:r w:rsidRPr="002825FF">
              <w:rPr>
                <w:szCs w:val="20"/>
                <w:lang w:val="de-CH" w:eastAsia="de-CH"/>
              </w:rPr>
              <w:t>0.082 ± 0.006</w:t>
            </w:r>
          </w:p>
        </w:tc>
        <w:tc>
          <w:tcPr>
            <w:tcW w:w="850" w:type="dxa"/>
            <w:vMerge/>
            <w:tcBorders>
              <w:bottom w:val="single" w:sz="4" w:space="0" w:color="auto"/>
            </w:tcBorders>
            <w:shd w:val="clear" w:color="auto" w:fill="auto"/>
            <w:noWrap/>
            <w:vAlign w:val="bottom"/>
            <w:hideMark/>
          </w:tcPr>
          <w:p w14:paraId="41CAB268" w14:textId="48FBC88D" w:rsidR="000A3AC3" w:rsidRPr="002825FF" w:rsidRDefault="000A3AC3" w:rsidP="002825FF">
            <w:pPr>
              <w:spacing w:line="240" w:lineRule="auto"/>
              <w:jc w:val="center"/>
              <w:rPr>
                <w:szCs w:val="20"/>
                <w:lang w:val="de-CH" w:eastAsia="de-CH"/>
              </w:rPr>
            </w:pPr>
          </w:p>
        </w:tc>
      </w:tr>
      <w:tr w:rsidR="000A3AC3" w:rsidRPr="002825FF" w14:paraId="24130FD4" w14:textId="77777777" w:rsidTr="000A3AC3">
        <w:trPr>
          <w:trHeight w:val="300"/>
        </w:trPr>
        <w:tc>
          <w:tcPr>
            <w:tcW w:w="10040" w:type="dxa"/>
            <w:gridSpan w:val="8"/>
            <w:tcBorders>
              <w:top w:val="single" w:sz="4" w:space="0" w:color="auto"/>
            </w:tcBorders>
          </w:tcPr>
          <w:p w14:paraId="5C898DD5" w14:textId="7BF1B128" w:rsidR="000A3AC3" w:rsidRPr="002825FF" w:rsidRDefault="000A3AC3" w:rsidP="002825FF">
            <w:pPr>
              <w:spacing w:line="240" w:lineRule="auto"/>
              <w:jc w:val="left"/>
              <w:rPr>
                <w:szCs w:val="20"/>
                <w:lang w:val="de-CH" w:eastAsia="de-CH"/>
              </w:rPr>
            </w:pPr>
            <w:proofErr w:type="spellStart"/>
            <w:r w:rsidRPr="002825FF">
              <w:rPr>
                <w:szCs w:val="20"/>
                <w:lang w:val="de-CH" w:eastAsia="de-CH"/>
              </w:rPr>
              <w:t>Lower</w:t>
            </w:r>
            <w:proofErr w:type="spellEnd"/>
            <w:r w:rsidRPr="002825FF">
              <w:rPr>
                <w:szCs w:val="20"/>
                <w:lang w:val="de-CH" w:eastAsia="de-CH"/>
              </w:rPr>
              <w:t xml:space="preserve"> Hafren (</w:t>
            </w:r>
            <w:proofErr w:type="spellStart"/>
            <w:r w:rsidRPr="002825FF">
              <w:rPr>
                <w:szCs w:val="20"/>
                <w:lang w:val="de-CH" w:eastAsia="de-CH"/>
              </w:rPr>
              <w:t>weekly</w:t>
            </w:r>
            <w:proofErr w:type="spellEnd"/>
            <w:r w:rsidRPr="002825FF">
              <w:rPr>
                <w:szCs w:val="20"/>
                <w:lang w:val="de-CH" w:eastAsia="de-CH"/>
              </w:rPr>
              <w:t xml:space="preserve"> </w:t>
            </w:r>
            <w:proofErr w:type="spellStart"/>
            <w:r w:rsidRPr="002825FF">
              <w:rPr>
                <w:szCs w:val="20"/>
                <w:lang w:val="de-CH" w:eastAsia="de-CH"/>
              </w:rPr>
              <w:t>sampling</w:t>
            </w:r>
            <w:proofErr w:type="spellEnd"/>
            <w:r w:rsidRPr="002825FF">
              <w:rPr>
                <w:szCs w:val="20"/>
                <w:lang w:val="de-CH" w:eastAsia="de-CH"/>
              </w:rPr>
              <w:t>):</w:t>
            </w:r>
          </w:p>
        </w:tc>
      </w:tr>
      <w:tr w:rsidR="000A3AC3" w:rsidRPr="002825FF" w14:paraId="2BC0439E" w14:textId="77777777" w:rsidTr="000A3AC3">
        <w:trPr>
          <w:trHeight w:val="300"/>
        </w:trPr>
        <w:tc>
          <w:tcPr>
            <w:tcW w:w="282" w:type="dxa"/>
          </w:tcPr>
          <w:p w14:paraId="48D33A3D" w14:textId="77777777" w:rsidR="000A3AC3" w:rsidRPr="002825FF" w:rsidRDefault="000A3AC3" w:rsidP="002825FF">
            <w:pPr>
              <w:spacing w:line="240" w:lineRule="auto"/>
              <w:rPr>
                <w:szCs w:val="20"/>
                <w:lang w:val="de-CH" w:eastAsia="de-CH"/>
              </w:rPr>
            </w:pPr>
          </w:p>
        </w:tc>
        <w:tc>
          <w:tcPr>
            <w:tcW w:w="1178" w:type="dxa"/>
            <w:shd w:val="clear" w:color="auto" w:fill="auto"/>
            <w:noWrap/>
            <w:vAlign w:val="bottom"/>
            <w:hideMark/>
          </w:tcPr>
          <w:p w14:paraId="0A52FDA1" w14:textId="370B32B7" w:rsidR="000A3AC3" w:rsidRPr="002825FF" w:rsidRDefault="000A3AC3" w:rsidP="002825FF">
            <w:pPr>
              <w:spacing w:line="240" w:lineRule="auto"/>
              <w:rPr>
                <w:szCs w:val="20"/>
                <w:lang w:val="de-CH" w:eastAsia="de-CH"/>
              </w:rPr>
            </w:pPr>
            <w:r w:rsidRPr="002825FF">
              <w:rPr>
                <w:szCs w:val="20"/>
                <w:lang w:val="de-CH" w:eastAsia="de-CH"/>
              </w:rPr>
              <w:t>Oxygen-18</w:t>
            </w:r>
          </w:p>
        </w:tc>
        <w:tc>
          <w:tcPr>
            <w:tcW w:w="250" w:type="dxa"/>
          </w:tcPr>
          <w:p w14:paraId="28ADE29A" w14:textId="04BF87F2" w:rsidR="000A3AC3" w:rsidRPr="002825FF" w:rsidRDefault="000A3AC3" w:rsidP="002825FF">
            <w:pPr>
              <w:spacing w:line="240" w:lineRule="auto"/>
              <w:jc w:val="left"/>
              <w:rPr>
                <w:szCs w:val="20"/>
                <w:lang w:val="de-CH" w:eastAsia="de-CH"/>
              </w:rPr>
            </w:pPr>
            <w:r w:rsidRPr="002825FF">
              <w:rPr>
                <w:szCs w:val="20"/>
                <w:lang w:val="de-CH" w:eastAsia="de-CH"/>
              </w:rPr>
              <w:t>–</w:t>
            </w:r>
          </w:p>
        </w:tc>
        <w:tc>
          <w:tcPr>
            <w:tcW w:w="1839" w:type="dxa"/>
            <w:tcBorders>
              <w:left w:val="nil"/>
            </w:tcBorders>
            <w:shd w:val="clear" w:color="auto" w:fill="auto"/>
            <w:noWrap/>
            <w:vAlign w:val="bottom"/>
            <w:hideMark/>
          </w:tcPr>
          <w:p w14:paraId="2CD8B326" w14:textId="103A53CF" w:rsidR="000A3AC3" w:rsidRPr="002825FF" w:rsidRDefault="000A3AC3" w:rsidP="002825FF">
            <w:pPr>
              <w:spacing w:line="240" w:lineRule="auto"/>
              <w:jc w:val="left"/>
              <w:rPr>
                <w:szCs w:val="20"/>
                <w:lang w:val="de-CH" w:eastAsia="de-CH"/>
              </w:rPr>
            </w:pPr>
            <w:proofErr w:type="spellStart"/>
            <w:r w:rsidRPr="002825FF">
              <w:rPr>
                <w:szCs w:val="20"/>
                <w:lang w:val="de-CH" w:eastAsia="de-CH"/>
              </w:rPr>
              <w:t>unweighted</w:t>
            </w:r>
            <w:proofErr w:type="spellEnd"/>
          </w:p>
        </w:tc>
        <w:tc>
          <w:tcPr>
            <w:tcW w:w="1880" w:type="dxa"/>
            <w:shd w:val="clear" w:color="auto" w:fill="auto"/>
            <w:noWrap/>
            <w:vAlign w:val="bottom"/>
            <w:hideMark/>
          </w:tcPr>
          <w:p w14:paraId="70C41621" w14:textId="4F431934" w:rsidR="000A3AC3" w:rsidRPr="002825FF" w:rsidRDefault="000A3AC3" w:rsidP="002825FF">
            <w:pPr>
              <w:spacing w:line="240" w:lineRule="auto"/>
              <w:jc w:val="center"/>
              <w:rPr>
                <w:szCs w:val="20"/>
                <w:lang w:val="de-CH" w:eastAsia="de-CH"/>
              </w:rPr>
            </w:pPr>
            <w:r w:rsidRPr="002825FF">
              <w:rPr>
                <w:szCs w:val="20"/>
                <w:lang w:val="de-CH" w:eastAsia="de-CH"/>
              </w:rPr>
              <w:t>9.022 ± 2.557</w:t>
            </w:r>
          </w:p>
        </w:tc>
        <w:tc>
          <w:tcPr>
            <w:tcW w:w="1880" w:type="dxa"/>
            <w:shd w:val="clear" w:color="auto" w:fill="auto"/>
            <w:noWrap/>
            <w:vAlign w:val="bottom"/>
            <w:hideMark/>
          </w:tcPr>
          <w:p w14:paraId="4F5FC016" w14:textId="6D8BB375" w:rsidR="000A3AC3" w:rsidRPr="002825FF" w:rsidRDefault="000A3AC3" w:rsidP="002825FF">
            <w:pPr>
              <w:spacing w:line="240" w:lineRule="auto"/>
              <w:jc w:val="center"/>
              <w:rPr>
                <w:szCs w:val="20"/>
                <w:lang w:val="de-CH" w:eastAsia="de-CH"/>
              </w:rPr>
            </w:pPr>
            <w:r w:rsidRPr="002825FF">
              <w:rPr>
                <w:szCs w:val="20"/>
                <w:lang w:val="de-CH" w:eastAsia="de-CH"/>
              </w:rPr>
              <w:t>0.448 ± 0.020</w:t>
            </w:r>
          </w:p>
        </w:tc>
        <w:tc>
          <w:tcPr>
            <w:tcW w:w="1881" w:type="dxa"/>
            <w:shd w:val="clear" w:color="auto" w:fill="auto"/>
            <w:noWrap/>
            <w:vAlign w:val="bottom"/>
            <w:hideMark/>
          </w:tcPr>
          <w:p w14:paraId="19814207" w14:textId="2E715982" w:rsidR="000A3AC3" w:rsidRPr="002825FF" w:rsidRDefault="000A3AC3" w:rsidP="002825FF">
            <w:pPr>
              <w:spacing w:line="240" w:lineRule="auto"/>
              <w:jc w:val="center"/>
              <w:rPr>
                <w:szCs w:val="20"/>
                <w:lang w:val="de-CH" w:eastAsia="de-CH"/>
              </w:rPr>
            </w:pPr>
            <w:r w:rsidRPr="002825FF">
              <w:rPr>
                <w:szCs w:val="20"/>
                <w:lang w:val="de-CH" w:eastAsia="de-CH"/>
              </w:rPr>
              <w:t>4.041 ± 1.159</w:t>
            </w:r>
          </w:p>
        </w:tc>
        <w:tc>
          <w:tcPr>
            <w:tcW w:w="850" w:type="dxa"/>
            <w:vMerge w:val="restart"/>
            <w:shd w:val="clear" w:color="auto" w:fill="auto"/>
            <w:noWrap/>
            <w:vAlign w:val="center"/>
            <w:hideMark/>
          </w:tcPr>
          <w:p w14:paraId="0ECEB9F2" w14:textId="2CCBBB1D" w:rsidR="000A3AC3" w:rsidRPr="002825FF" w:rsidRDefault="000A3AC3" w:rsidP="002825FF">
            <w:pPr>
              <w:spacing w:line="240" w:lineRule="auto"/>
              <w:jc w:val="center"/>
              <w:rPr>
                <w:szCs w:val="20"/>
                <w:lang w:val="de-CH" w:eastAsia="de-CH"/>
              </w:rPr>
            </w:pPr>
            <w:r w:rsidRPr="002825FF">
              <w:rPr>
                <w:szCs w:val="20"/>
                <w:lang w:val="de-CH" w:eastAsia="de-CH"/>
              </w:rPr>
              <w:t>1.896</w:t>
            </w:r>
          </w:p>
        </w:tc>
      </w:tr>
      <w:tr w:rsidR="000A3AC3" w:rsidRPr="002825FF" w14:paraId="082633C3" w14:textId="77777777" w:rsidTr="000A3AC3">
        <w:trPr>
          <w:trHeight w:val="300"/>
        </w:trPr>
        <w:tc>
          <w:tcPr>
            <w:tcW w:w="282" w:type="dxa"/>
          </w:tcPr>
          <w:p w14:paraId="1A96CB1E" w14:textId="77777777" w:rsidR="000A3AC3" w:rsidRPr="002825FF" w:rsidRDefault="000A3AC3" w:rsidP="002825FF">
            <w:pPr>
              <w:spacing w:line="240" w:lineRule="auto"/>
              <w:rPr>
                <w:szCs w:val="20"/>
                <w:lang w:val="de-CH" w:eastAsia="de-CH"/>
              </w:rPr>
            </w:pPr>
          </w:p>
        </w:tc>
        <w:tc>
          <w:tcPr>
            <w:tcW w:w="1178" w:type="dxa"/>
            <w:shd w:val="clear" w:color="auto" w:fill="auto"/>
            <w:noWrap/>
            <w:vAlign w:val="bottom"/>
            <w:hideMark/>
          </w:tcPr>
          <w:p w14:paraId="09EEE1EA" w14:textId="45AA5A2C" w:rsidR="000A3AC3" w:rsidRPr="002825FF" w:rsidRDefault="000A3AC3" w:rsidP="002825FF">
            <w:pPr>
              <w:spacing w:line="240" w:lineRule="auto"/>
              <w:rPr>
                <w:szCs w:val="20"/>
                <w:lang w:val="de-CH" w:eastAsia="de-CH"/>
              </w:rPr>
            </w:pPr>
            <w:r w:rsidRPr="002825FF">
              <w:rPr>
                <w:szCs w:val="20"/>
                <w:lang w:val="de-CH" w:eastAsia="de-CH"/>
              </w:rPr>
              <w:t>Deuterium</w:t>
            </w:r>
          </w:p>
        </w:tc>
        <w:tc>
          <w:tcPr>
            <w:tcW w:w="250" w:type="dxa"/>
          </w:tcPr>
          <w:p w14:paraId="37BB7EBD" w14:textId="5FAA269F" w:rsidR="000A3AC3" w:rsidRPr="002825FF" w:rsidRDefault="000A3AC3" w:rsidP="002825FF">
            <w:pPr>
              <w:spacing w:line="240" w:lineRule="auto"/>
              <w:jc w:val="left"/>
              <w:rPr>
                <w:szCs w:val="20"/>
                <w:lang w:val="de-CH" w:eastAsia="de-CH"/>
              </w:rPr>
            </w:pPr>
            <w:r w:rsidRPr="002825FF">
              <w:rPr>
                <w:szCs w:val="20"/>
                <w:lang w:val="de-CH" w:eastAsia="de-CH"/>
              </w:rPr>
              <w:t>–</w:t>
            </w:r>
          </w:p>
        </w:tc>
        <w:tc>
          <w:tcPr>
            <w:tcW w:w="1839" w:type="dxa"/>
            <w:tcBorders>
              <w:left w:val="nil"/>
            </w:tcBorders>
            <w:shd w:val="clear" w:color="auto" w:fill="auto"/>
            <w:noWrap/>
            <w:vAlign w:val="bottom"/>
            <w:hideMark/>
          </w:tcPr>
          <w:p w14:paraId="2C5D757F" w14:textId="31DAF37B" w:rsidR="000A3AC3" w:rsidRPr="002825FF" w:rsidRDefault="000A3AC3" w:rsidP="002825FF">
            <w:pPr>
              <w:spacing w:line="240" w:lineRule="auto"/>
              <w:jc w:val="left"/>
              <w:rPr>
                <w:szCs w:val="20"/>
                <w:lang w:val="de-CH" w:eastAsia="de-CH"/>
              </w:rPr>
            </w:pPr>
            <w:proofErr w:type="spellStart"/>
            <w:r w:rsidRPr="002825FF">
              <w:rPr>
                <w:szCs w:val="20"/>
                <w:lang w:val="de-CH" w:eastAsia="de-CH"/>
              </w:rPr>
              <w:t>unweighted</w:t>
            </w:r>
            <w:proofErr w:type="spellEnd"/>
          </w:p>
        </w:tc>
        <w:tc>
          <w:tcPr>
            <w:tcW w:w="1880" w:type="dxa"/>
            <w:shd w:val="clear" w:color="auto" w:fill="auto"/>
            <w:noWrap/>
            <w:vAlign w:val="bottom"/>
            <w:hideMark/>
          </w:tcPr>
          <w:p w14:paraId="4F5994BA" w14:textId="4C3D6115" w:rsidR="000A3AC3" w:rsidRPr="002825FF" w:rsidRDefault="000A3AC3" w:rsidP="002825FF">
            <w:pPr>
              <w:spacing w:line="240" w:lineRule="auto"/>
              <w:jc w:val="center"/>
              <w:rPr>
                <w:szCs w:val="20"/>
                <w:lang w:val="de-CH" w:eastAsia="de-CH"/>
              </w:rPr>
            </w:pPr>
            <w:r w:rsidRPr="002825FF">
              <w:rPr>
                <w:szCs w:val="20"/>
                <w:lang w:val="de-CH" w:eastAsia="de-CH"/>
              </w:rPr>
              <w:t>4.094 ± 0.821</w:t>
            </w:r>
          </w:p>
        </w:tc>
        <w:tc>
          <w:tcPr>
            <w:tcW w:w="1880" w:type="dxa"/>
            <w:shd w:val="clear" w:color="auto" w:fill="auto"/>
            <w:noWrap/>
            <w:vAlign w:val="bottom"/>
            <w:hideMark/>
          </w:tcPr>
          <w:p w14:paraId="60BD4DE4" w14:textId="5F0351D2" w:rsidR="000A3AC3" w:rsidRPr="002825FF" w:rsidRDefault="000A3AC3" w:rsidP="002825FF">
            <w:pPr>
              <w:spacing w:line="240" w:lineRule="auto"/>
              <w:jc w:val="center"/>
              <w:rPr>
                <w:szCs w:val="20"/>
                <w:lang w:val="de-CH" w:eastAsia="de-CH"/>
              </w:rPr>
            </w:pPr>
            <w:r w:rsidRPr="002825FF">
              <w:rPr>
                <w:szCs w:val="20"/>
                <w:lang w:val="de-CH" w:eastAsia="de-CH"/>
              </w:rPr>
              <w:t>0.521 ± 0.019</w:t>
            </w:r>
          </w:p>
        </w:tc>
        <w:tc>
          <w:tcPr>
            <w:tcW w:w="1881" w:type="dxa"/>
            <w:shd w:val="clear" w:color="auto" w:fill="auto"/>
            <w:noWrap/>
            <w:vAlign w:val="bottom"/>
            <w:hideMark/>
          </w:tcPr>
          <w:p w14:paraId="229D54A5" w14:textId="0B09B7CB" w:rsidR="000A3AC3" w:rsidRPr="002825FF" w:rsidRDefault="000A3AC3" w:rsidP="002825FF">
            <w:pPr>
              <w:spacing w:line="240" w:lineRule="auto"/>
              <w:jc w:val="center"/>
              <w:rPr>
                <w:szCs w:val="20"/>
                <w:lang w:val="de-CH" w:eastAsia="de-CH"/>
              </w:rPr>
            </w:pPr>
            <w:r w:rsidRPr="002825FF">
              <w:rPr>
                <w:szCs w:val="20"/>
                <w:lang w:val="de-CH" w:eastAsia="de-CH"/>
              </w:rPr>
              <w:t>2.131 ± 0.434</w:t>
            </w:r>
          </w:p>
        </w:tc>
        <w:tc>
          <w:tcPr>
            <w:tcW w:w="850" w:type="dxa"/>
            <w:vMerge/>
            <w:shd w:val="clear" w:color="auto" w:fill="auto"/>
            <w:noWrap/>
            <w:vAlign w:val="center"/>
            <w:hideMark/>
          </w:tcPr>
          <w:p w14:paraId="08C4FCE3" w14:textId="519A701C" w:rsidR="000A3AC3" w:rsidRPr="002825FF" w:rsidRDefault="000A3AC3" w:rsidP="002825FF">
            <w:pPr>
              <w:spacing w:line="240" w:lineRule="auto"/>
              <w:jc w:val="center"/>
              <w:rPr>
                <w:szCs w:val="20"/>
                <w:lang w:val="de-CH" w:eastAsia="de-CH"/>
              </w:rPr>
            </w:pPr>
          </w:p>
        </w:tc>
      </w:tr>
      <w:tr w:rsidR="000A3AC3" w:rsidRPr="002825FF" w14:paraId="1197D25C" w14:textId="77777777" w:rsidTr="000A3AC3">
        <w:trPr>
          <w:trHeight w:val="300"/>
        </w:trPr>
        <w:tc>
          <w:tcPr>
            <w:tcW w:w="282" w:type="dxa"/>
          </w:tcPr>
          <w:p w14:paraId="2610ACCD" w14:textId="77777777" w:rsidR="000A3AC3" w:rsidRPr="002825FF" w:rsidRDefault="000A3AC3" w:rsidP="002825FF">
            <w:pPr>
              <w:spacing w:line="240" w:lineRule="auto"/>
              <w:rPr>
                <w:szCs w:val="20"/>
                <w:lang w:val="de-CH" w:eastAsia="de-CH"/>
              </w:rPr>
            </w:pPr>
          </w:p>
        </w:tc>
        <w:tc>
          <w:tcPr>
            <w:tcW w:w="1178" w:type="dxa"/>
            <w:shd w:val="clear" w:color="auto" w:fill="auto"/>
            <w:noWrap/>
            <w:vAlign w:val="bottom"/>
            <w:hideMark/>
          </w:tcPr>
          <w:p w14:paraId="3C9C6228" w14:textId="2B894183" w:rsidR="000A3AC3" w:rsidRPr="002825FF" w:rsidRDefault="000A3AC3" w:rsidP="002825FF">
            <w:pPr>
              <w:spacing w:line="240" w:lineRule="auto"/>
              <w:rPr>
                <w:szCs w:val="20"/>
                <w:lang w:val="de-CH" w:eastAsia="de-CH"/>
              </w:rPr>
            </w:pPr>
            <w:r w:rsidRPr="002825FF">
              <w:rPr>
                <w:szCs w:val="20"/>
                <w:lang w:val="de-CH" w:eastAsia="de-CH"/>
              </w:rPr>
              <w:t>Oxygen-18</w:t>
            </w:r>
          </w:p>
        </w:tc>
        <w:tc>
          <w:tcPr>
            <w:tcW w:w="250" w:type="dxa"/>
          </w:tcPr>
          <w:p w14:paraId="466B8393" w14:textId="3B866FEE" w:rsidR="000A3AC3" w:rsidRPr="002825FF" w:rsidRDefault="000A3AC3" w:rsidP="002825FF">
            <w:pPr>
              <w:spacing w:line="240" w:lineRule="auto"/>
              <w:jc w:val="left"/>
              <w:rPr>
                <w:szCs w:val="20"/>
                <w:lang w:val="de-CH" w:eastAsia="de-CH"/>
              </w:rPr>
            </w:pPr>
            <w:r w:rsidRPr="002825FF">
              <w:rPr>
                <w:szCs w:val="20"/>
                <w:lang w:val="de-CH" w:eastAsia="de-CH"/>
              </w:rPr>
              <w:t>–</w:t>
            </w:r>
          </w:p>
        </w:tc>
        <w:tc>
          <w:tcPr>
            <w:tcW w:w="1839" w:type="dxa"/>
            <w:tcBorders>
              <w:left w:val="nil"/>
            </w:tcBorders>
            <w:shd w:val="clear" w:color="auto" w:fill="auto"/>
            <w:noWrap/>
            <w:vAlign w:val="bottom"/>
            <w:hideMark/>
          </w:tcPr>
          <w:p w14:paraId="566E79B6" w14:textId="2EF9F652" w:rsidR="000A3AC3" w:rsidRPr="002825FF" w:rsidRDefault="000A3AC3" w:rsidP="002825FF">
            <w:pPr>
              <w:spacing w:line="240" w:lineRule="auto"/>
              <w:jc w:val="left"/>
              <w:rPr>
                <w:szCs w:val="20"/>
                <w:lang w:val="de-CH" w:eastAsia="de-CH"/>
              </w:rPr>
            </w:pPr>
            <w:proofErr w:type="spellStart"/>
            <w:r w:rsidRPr="002825FF">
              <w:rPr>
                <w:szCs w:val="20"/>
                <w:lang w:val="de-CH" w:eastAsia="de-CH"/>
              </w:rPr>
              <w:t>volume-weighted</w:t>
            </w:r>
            <w:proofErr w:type="spellEnd"/>
          </w:p>
        </w:tc>
        <w:tc>
          <w:tcPr>
            <w:tcW w:w="1880" w:type="dxa"/>
            <w:shd w:val="clear" w:color="auto" w:fill="auto"/>
            <w:noWrap/>
            <w:vAlign w:val="bottom"/>
            <w:hideMark/>
          </w:tcPr>
          <w:p w14:paraId="23D205C0" w14:textId="3DFBC690" w:rsidR="000A3AC3" w:rsidRPr="002825FF" w:rsidRDefault="000A3AC3" w:rsidP="002825FF">
            <w:pPr>
              <w:spacing w:line="240" w:lineRule="auto"/>
              <w:jc w:val="center"/>
              <w:rPr>
                <w:szCs w:val="20"/>
                <w:lang w:val="de-CH" w:eastAsia="de-CH"/>
              </w:rPr>
            </w:pPr>
            <w:r w:rsidRPr="002825FF">
              <w:rPr>
                <w:szCs w:val="20"/>
                <w:lang w:val="de-CH" w:eastAsia="de-CH"/>
              </w:rPr>
              <w:t>6.331 ± 1.840</w:t>
            </w:r>
          </w:p>
        </w:tc>
        <w:tc>
          <w:tcPr>
            <w:tcW w:w="1880" w:type="dxa"/>
            <w:shd w:val="clear" w:color="auto" w:fill="auto"/>
            <w:noWrap/>
            <w:vAlign w:val="bottom"/>
            <w:hideMark/>
          </w:tcPr>
          <w:p w14:paraId="0D76596C" w14:textId="593530CB" w:rsidR="000A3AC3" w:rsidRPr="002825FF" w:rsidRDefault="000A3AC3" w:rsidP="002825FF">
            <w:pPr>
              <w:spacing w:line="240" w:lineRule="auto"/>
              <w:jc w:val="center"/>
              <w:rPr>
                <w:szCs w:val="20"/>
                <w:lang w:val="de-CH" w:eastAsia="de-CH"/>
              </w:rPr>
            </w:pPr>
            <w:r w:rsidRPr="002825FF">
              <w:rPr>
                <w:szCs w:val="20"/>
                <w:lang w:val="de-CH" w:eastAsia="de-CH"/>
              </w:rPr>
              <w:t>0.398 ± 0.019</w:t>
            </w:r>
          </w:p>
        </w:tc>
        <w:tc>
          <w:tcPr>
            <w:tcW w:w="1881" w:type="dxa"/>
            <w:shd w:val="clear" w:color="auto" w:fill="auto"/>
            <w:noWrap/>
            <w:vAlign w:val="bottom"/>
            <w:hideMark/>
          </w:tcPr>
          <w:p w14:paraId="16D5F2AA" w14:textId="09E69825" w:rsidR="000A3AC3" w:rsidRPr="002825FF" w:rsidRDefault="000A3AC3" w:rsidP="002825FF">
            <w:pPr>
              <w:spacing w:line="240" w:lineRule="auto"/>
              <w:jc w:val="center"/>
              <w:rPr>
                <w:szCs w:val="20"/>
                <w:lang w:val="de-CH" w:eastAsia="de-CH"/>
              </w:rPr>
            </w:pPr>
            <w:r w:rsidRPr="002825FF">
              <w:rPr>
                <w:szCs w:val="20"/>
                <w:lang w:val="de-CH" w:eastAsia="de-CH"/>
              </w:rPr>
              <w:t>2.519 ± 0.742</w:t>
            </w:r>
          </w:p>
        </w:tc>
        <w:tc>
          <w:tcPr>
            <w:tcW w:w="850" w:type="dxa"/>
            <w:vMerge w:val="restart"/>
            <w:shd w:val="clear" w:color="auto" w:fill="auto"/>
            <w:noWrap/>
            <w:vAlign w:val="center"/>
            <w:hideMark/>
          </w:tcPr>
          <w:p w14:paraId="28CB12AA" w14:textId="6DD438F9" w:rsidR="000A3AC3" w:rsidRPr="002825FF" w:rsidRDefault="000A3AC3" w:rsidP="002825FF">
            <w:pPr>
              <w:spacing w:line="240" w:lineRule="auto"/>
              <w:jc w:val="center"/>
              <w:rPr>
                <w:szCs w:val="20"/>
                <w:lang w:val="de-CH" w:eastAsia="de-CH"/>
              </w:rPr>
            </w:pPr>
            <w:r w:rsidRPr="002825FF">
              <w:rPr>
                <w:szCs w:val="20"/>
                <w:lang w:val="de-CH" w:eastAsia="de-CH"/>
              </w:rPr>
              <w:t>2.102</w:t>
            </w:r>
          </w:p>
        </w:tc>
      </w:tr>
      <w:tr w:rsidR="000A3AC3" w:rsidRPr="002825FF" w14:paraId="2B30DA0F" w14:textId="77777777" w:rsidTr="000A3AC3">
        <w:trPr>
          <w:trHeight w:val="300"/>
        </w:trPr>
        <w:tc>
          <w:tcPr>
            <w:tcW w:w="282" w:type="dxa"/>
            <w:tcBorders>
              <w:bottom w:val="single" w:sz="4" w:space="0" w:color="auto"/>
            </w:tcBorders>
          </w:tcPr>
          <w:p w14:paraId="73D7B0D5" w14:textId="77777777" w:rsidR="000A3AC3" w:rsidRPr="002825FF" w:rsidRDefault="000A3AC3" w:rsidP="002825FF">
            <w:pPr>
              <w:spacing w:line="240" w:lineRule="auto"/>
              <w:rPr>
                <w:szCs w:val="20"/>
                <w:lang w:val="de-CH" w:eastAsia="de-CH"/>
              </w:rPr>
            </w:pPr>
          </w:p>
        </w:tc>
        <w:tc>
          <w:tcPr>
            <w:tcW w:w="1178" w:type="dxa"/>
            <w:tcBorders>
              <w:bottom w:val="single" w:sz="4" w:space="0" w:color="auto"/>
            </w:tcBorders>
            <w:shd w:val="clear" w:color="auto" w:fill="auto"/>
            <w:noWrap/>
            <w:vAlign w:val="bottom"/>
            <w:hideMark/>
          </w:tcPr>
          <w:p w14:paraId="086DDBA8" w14:textId="354230B9" w:rsidR="000A3AC3" w:rsidRPr="002825FF" w:rsidRDefault="000A3AC3" w:rsidP="002825FF">
            <w:pPr>
              <w:spacing w:line="240" w:lineRule="auto"/>
              <w:rPr>
                <w:szCs w:val="20"/>
                <w:lang w:val="de-CH" w:eastAsia="de-CH"/>
              </w:rPr>
            </w:pPr>
            <w:r w:rsidRPr="002825FF">
              <w:rPr>
                <w:szCs w:val="20"/>
                <w:lang w:val="de-CH" w:eastAsia="de-CH"/>
              </w:rPr>
              <w:t>Deuterium</w:t>
            </w:r>
          </w:p>
        </w:tc>
        <w:tc>
          <w:tcPr>
            <w:tcW w:w="250" w:type="dxa"/>
            <w:tcBorders>
              <w:bottom w:val="single" w:sz="4" w:space="0" w:color="auto"/>
            </w:tcBorders>
          </w:tcPr>
          <w:p w14:paraId="0E36F272" w14:textId="3B006633" w:rsidR="000A3AC3" w:rsidRPr="002825FF" w:rsidRDefault="000A3AC3" w:rsidP="002825FF">
            <w:pPr>
              <w:spacing w:line="240" w:lineRule="auto"/>
              <w:jc w:val="left"/>
              <w:rPr>
                <w:szCs w:val="20"/>
                <w:lang w:val="de-CH" w:eastAsia="de-CH"/>
              </w:rPr>
            </w:pPr>
            <w:r w:rsidRPr="002825FF">
              <w:rPr>
                <w:szCs w:val="20"/>
                <w:lang w:val="de-CH" w:eastAsia="de-CH"/>
              </w:rPr>
              <w:t>–</w:t>
            </w:r>
          </w:p>
        </w:tc>
        <w:tc>
          <w:tcPr>
            <w:tcW w:w="1839" w:type="dxa"/>
            <w:tcBorders>
              <w:left w:val="nil"/>
              <w:bottom w:val="single" w:sz="4" w:space="0" w:color="auto"/>
            </w:tcBorders>
            <w:shd w:val="clear" w:color="auto" w:fill="auto"/>
            <w:noWrap/>
            <w:vAlign w:val="bottom"/>
            <w:hideMark/>
          </w:tcPr>
          <w:p w14:paraId="79907366" w14:textId="25A38BCD" w:rsidR="000A3AC3" w:rsidRPr="002825FF" w:rsidRDefault="000A3AC3" w:rsidP="002825FF">
            <w:pPr>
              <w:spacing w:line="240" w:lineRule="auto"/>
              <w:jc w:val="left"/>
              <w:rPr>
                <w:szCs w:val="20"/>
                <w:lang w:val="de-CH" w:eastAsia="de-CH"/>
              </w:rPr>
            </w:pPr>
            <w:proofErr w:type="spellStart"/>
            <w:r w:rsidRPr="002825FF">
              <w:rPr>
                <w:szCs w:val="20"/>
                <w:lang w:val="de-CH" w:eastAsia="de-CH"/>
              </w:rPr>
              <w:t>volume-weighted</w:t>
            </w:r>
            <w:proofErr w:type="spellEnd"/>
          </w:p>
        </w:tc>
        <w:tc>
          <w:tcPr>
            <w:tcW w:w="1880" w:type="dxa"/>
            <w:tcBorders>
              <w:bottom w:val="single" w:sz="4" w:space="0" w:color="auto"/>
            </w:tcBorders>
            <w:shd w:val="clear" w:color="auto" w:fill="auto"/>
            <w:noWrap/>
            <w:vAlign w:val="bottom"/>
            <w:hideMark/>
          </w:tcPr>
          <w:p w14:paraId="0CDA9669" w14:textId="11F96AAB" w:rsidR="000A3AC3" w:rsidRPr="002825FF" w:rsidRDefault="000A3AC3" w:rsidP="002825FF">
            <w:pPr>
              <w:spacing w:line="240" w:lineRule="auto"/>
              <w:jc w:val="center"/>
              <w:rPr>
                <w:szCs w:val="20"/>
                <w:lang w:val="de-CH" w:eastAsia="de-CH"/>
              </w:rPr>
            </w:pPr>
            <w:r w:rsidRPr="002825FF">
              <w:rPr>
                <w:szCs w:val="20"/>
                <w:lang w:val="de-CH" w:eastAsia="de-CH"/>
              </w:rPr>
              <w:t>2.647 ± 0.526</w:t>
            </w:r>
          </w:p>
        </w:tc>
        <w:tc>
          <w:tcPr>
            <w:tcW w:w="1880" w:type="dxa"/>
            <w:tcBorders>
              <w:bottom w:val="single" w:sz="4" w:space="0" w:color="auto"/>
            </w:tcBorders>
            <w:shd w:val="clear" w:color="auto" w:fill="auto"/>
            <w:noWrap/>
            <w:vAlign w:val="bottom"/>
            <w:hideMark/>
          </w:tcPr>
          <w:p w14:paraId="129538CE" w14:textId="7E782040" w:rsidR="000A3AC3" w:rsidRPr="002825FF" w:rsidRDefault="000A3AC3" w:rsidP="002825FF">
            <w:pPr>
              <w:spacing w:line="240" w:lineRule="auto"/>
              <w:jc w:val="center"/>
              <w:rPr>
                <w:szCs w:val="20"/>
                <w:lang w:val="de-CH" w:eastAsia="de-CH"/>
              </w:rPr>
            </w:pPr>
            <w:r w:rsidRPr="002825FF">
              <w:rPr>
                <w:szCs w:val="20"/>
                <w:lang w:val="de-CH" w:eastAsia="de-CH"/>
              </w:rPr>
              <w:t>0.453 ± 0.017</w:t>
            </w:r>
          </w:p>
        </w:tc>
        <w:tc>
          <w:tcPr>
            <w:tcW w:w="1881" w:type="dxa"/>
            <w:tcBorders>
              <w:bottom w:val="single" w:sz="4" w:space="0" w:color="auto"/>
            </w:tcBorders>
            <w:shd w:val="clear" w:color="auto" w:fill="auto"/>
            <w:noWrap/>
            <w:vAlign w:val="bottom"/>
            <w:hideMark/>
          </w:tcPr>
          <w:p w14:paraId="798A42B5" w14:textId="289CEFAA" w:rsidR="000A3AC3" w:rsidRPr="002825FF" w:rsidRDefault="000A3AC3" w:rsidP="002825FF">
            <w:pPr>
              <w:spacing w:line="240" w:lineRule="auto"/>
              <w:jc w:val="center"/>
              <w:rPr>
                <w:szCs w:val="20"/>
                <w:lang w:val="de-CH" w:eastAsia="de-CH"/>
              </w:rPr>
            </w:pPr>
            <w:r w:rsidRPr="002825FF">
              <w:rPr>
                <w:szCs w:val="20"/>
                <w:lang w:val="de-CH" w:eastAsia="de-CH"/>
              </w:rPr>
              <w:t>1.199 ± 0.242</w:t>
            </w:r>
          </w:p>
        </w:tc>
        <w:tc>
          <w:tcPr>
            <w:tcW w:w="850" w:type="dxa"/>
            <w:vMerge/>
            <w:tcBorders>
              <w:bottom w:val="single" w:sz="4" w:space="0" w:color="auto"/>
            </w:tcBorders>
            <w:shd w:val="clear" w:color="auto" w:fill="auto"/>
            <w:noWrap/>
            <w:vAlign w:val="bottom"/>
            <w:hideMark/>
          </w:tcPr>
          <w:p w14:paraId="482E16E3" w14:textId="100A14FF" w:rsidR="000A3AC3" w:rsidRPr="002825FF" w:rsidRDefault="000A3AC3" w:rsidP="002825FF">
            <w:pPr>
              <w:spacing w:line="240" w:lineRule="auto"/>
              <w:jc w:val="center"/>
              <w:rPr>
                <w:szCs w:val="20"/>
                <w:lang w:val="de-CH" w:eastAsia="de-CH"/>
              </w:rPr>
            </w:pPr>
          </w:p>
        </w:tc>
      </w:tr>
      <w:tr w:rsidR="000A3AC3" w:rsidRPr="002825FF" w14:paraId="188CF2D1" w14:textId="77777777" w:rsidTr="000A3AC3">
        <w:trPr>
          <w:trHeight w:val="300"/>
        </w:trPr>
        <w:tc>
          <w:tcPr>
            <w:tcW w:w="10040" w:type="dxa"/>
            <w:gridSpan w:val="8"/>
            <w:tcBorders>
              <w:top w:val="single" w:sz="4" w:space="0" w:color="auto"/>
            </w:tcBorders>
          </w:tcPr>
          <w:p w14:paraId="5ED12533" w14:textId="6CFFB104" w:rsidR="000A3AC3" w:rsidRPr="002825FF" w:rsidRDefault="000A3AC3" w:rsidP="002825FF">
            <w:pPr>
              <w:spacing w:line="240" w:lineRule="auto"/>
              <w:jc w:val="left"/>
              <w:rPr>
                <w:szCs w:val="20"/>
                <w:lang w:val="de-CH" w:eastAsia="de-CH"/>
              </w:rPr>
            </w:pPr>
            <w:r w:rsidRPr="002825FF">
              <w:rPr>
                <w:szCs w:val="20"/>
                <w:lang w:val="de-CH" w:eastAsia="de-CH"/>
              </w:rPr>
              <w:t>Tanllwyth (</w:t>
            </w:r>
            <w:proofErr w:type="spellStart"/>
            <w:r w:rsidRPr="002825FF">
              <w:rPr>
                <w:szCs w:val="20"/>
                <w:lang w:val="de-CH" w:eastAsia="de-CH"/>
              </w:rPr>
              <w:t>weekly</w:t>
            </w:r>
            <w:proofErr w:type="spellEnd"/>
            <w:r w:rsidRPr="002825FF">
              <w:rPr>
                <w:szCs w:val="20"/>
                <w:lang w:val="de-CH" w:eastAsia="de-CH"/>
              </w:rPr>
              <w:t xml:space="preserve"> </w:t>
            </w:r>
            <w:proofErr w:type="spellStart"/>
            <w:r w:rsidRPr="002825FF">
              <w:rPr>
                <w:szCs w:val="20"/>
                <w:lang w:val="de-CH" w:eastAsia="de-CH"/>
              </w:rPr>
              <w:t>sampling</w:t>
            </w:r>
            <w:proofErr w:type="spellEnd"/>
            <w:r w:rsidRPr="002825FF">
              <w:rPr>
                <w:szCs w:val="20"/>
                <w:lang w:val="de-CH" w:eastAsia="de-CH"/>
              </w:rPr>
              <w:t>):</w:t>
            </w:r>
          </w:p>
        </w:tc>
      </w:tr>
      <w:tr w:rsidR="000A3AC3" w:rsidRPr="002825FF" w14:paraId="6462351D" w14:textId="77777777" w:rsidTr="000A3AC3">
        <w:trPr>
          <w:trHeight w:val="300"/>
        </w:trPr>
        <w:tc>
          <w:tcPr>
            <w:tcW w:w="282" w:type="dxa"/>
          </w:tcPr>
          <w:p w14:paraId="75AED5F8" w14:textId="77777777" w:rsidR="000A3AC3" w:rsidRPr="002825FF" w:rsidRDefault="000A3AC3" w:rsidP="002825FF">
            <w:pPr>
              <w:spacing w:line="240" w:lineRule="auto"/>
              <w:rPr>
                <w:szCs w:val="20"/>
                <w:lang w:val="de-CH" w:eastAsia="de-CH"/>
              </w:rPr>
            </w:pPr>
          </w:p>
        </w:tc>
        <w:tc>
          <w:tcPr>
            <w:tcW w:w="1178" w:type="dxa"/>
            <w:shd w:val="clear" w:color="auto" w:fill="auto"/>
            <w:noWrap/>
            <w:vAlign w:val="bottom"/>
            <w:hideMark/>
          </w:tcPr>
          <w:p w14:paraId="724BF4DE" w14:textId="6DA69CBB" w:rsidR="000A3AC3" w:rsidRPr="002825FF" w:rsidRDefault="000A3AC3" w:rsidP="002825FF">
            <w:pPr>
              <w:spacing w:line="240" w:lineRule="auto"/>
              <w:rPr>
                <w:szCs w:val="20"/>
                <w:lang w:val="de-CH" w:eastAsia="de-CH"/>
              </w:rPr>
            </w:pPr>
            <w:r w:rsidRPr="002825FF">
              <w:rPr>
                <w:szCs w:val="20"/>
                <w:lang w:val="de-CH" w:eastAsia="de-CH"/>
              </w:rPr>
              <w:t>Oxygen-18</w:t>
            </w:r>
          </w:p>
        </w:tc>
        <w:tc>
          <w:tcPr>
            <w:tcW w:w="250" w:type="dxa"/>
          </w:tcPr>
          <w:p w14:paraId="0A68E4DC" w14:textId="012D0134" w:rsidR="000A3AC3" w:rsidRPr="002825FF" w:rsidRDefault="000A3AC3" w:rsidP="002825FF">
            <w:pPr>
              <w:spacing w:line="240" w:lineRule="auto"/>
              <w:jc w:val="left"/>
              <w:rPr>
                <w:szCs w:val="20"/>
                <w:lang w:val="de-CH" w:eastAsia="de-CH"/>
              </w:rPr>
            </w:pPr>
            <w:r w:rsidRPr="002825FF">
              <w:rPr>
                <w:szCs w:val="20"/>
                <w:lang w:val="de-CH" w:eastAsia="de-CH"/>
              </w:rPr>
              <w:t>–</w:t>
            </w:r>
          </w:p>
        </w:tc>
        <w:tc>
          <w:tcPr>
            <w:tcW w:w="1839" w:type="dxa"/>
            <w:tcBorders>
              <w:left w:val="nil"/>
            </w:tcBorders>
            <w:shd w:val="clear" w:color="auto" w:fill="auto"/>
            <w:noWrap/>
            <w:vAlign w:val="bottom"/>
            <w:hideMark/>
          </w:tcPr>
          <w:p w14:paraId="66FDEAA6" w14:textId="58E5FEB2" w:rsidR="000A3AC3" w:rsidRPr="002825FF" w:rsidRDefault="000A3AC3" w:rsidP="002825FF">
            <w:pPr>
              <w:spacing w:line="240" w:lineRule="auto"/>
              <w:jc w:val="left"/>
              <w:rPr>
                <w:szCs w:val="20"/>
                <w:lang w:val="de-CH" w:eastAsia="de-CH"/>
              </w:rPr>
            </w:pPr>
            <w:proofErr w:type="spellStart"/>
            <w:r w:rsidRPr="002825FF">
              <w:rPr>
                <w:szCs w:val="20"/>
                <w:lang w:val="de-CH" w:eastAsia="de-CH"/>
              </w:rPr>
              <w:t>unweighted</w:t>
            </w:r>
            <w:proofErr w:type="spellEnd"/>
          </w:p>
        </w:tc>
        <w:tc>
          <w:tcPr>
            <w:tcW w:w="1880" w:type="dxa"/>
            <w:shd w:val="clear" w:color="auto" w:fill="auto"/>
            <w:noWrap/>
            <w:vAlign w:val="bottom"/>
            <w:hideMark/>
          </w:tcPr>
          <w:p w14:paraId="7B5C1F48" w14:textId="37FB798A" w:rsidR="000A3AC3" w:rsidRPr="002825FF" w:rsidRDefault="000A3AC3" w:rsidP="002825FF">
            <w:pPr>
              <w:spacing w:line="240" w:lineRule="auto"/>
              <w:jc w:val="center"/>
              <w:rPr>
                <w:szCs w:val="20"/>
                <w:lang w:val="de-CH" w:eastAsia="de-CH"/>
              </w:rPr>
            </w:pPr>
            <w:r w:rsidRPr="002825FF">
              <w:rPr>
                <w:szCs w:val="20"/>
                <w:lang w:val="de-CH" w:eastAsia="de-CH"/>
              </w:rPr>
              <w:t>1.731 ± 0.300</w:t>
            </w:r>
          </w:p>
        </w:tc>
        <w:tc>
          <w:tcPr>
            <w:tcW w:w="1880" w:type="dxa"/>
            <w:shd w:val="clear" w:color="auto" w:fill="auto"/>
            <w:noWrap/>
            <w:vAlign w:val="bottom"/>
            <w:hideMark/>
          </w:tcPr>
          <w:p w14:paraId="78EF9FCE" w14:textId="554DC153" w:rsidR="000A3AC3" w:rsidRPr="002825FF" w:rsidRDefault="000A3AC3" w:rsidP="002825FF">
            <w:pPr>
              <w:spacing w:line="240" w:lineRule="auto"/>
              <w:jc w:val="center"/>
              <w:rPr>
                <w:szCs w:val="20"/>
                <w:lang w:val="de-CH" w:eastAsia="de-CH"/>
              </w:rPr>
            </w:pPr>
            <w:r w:rsidRPr="002825FF">
              <w:rPr>
                <w:szCs w:val="20"/>
                <w:lang w:val="de-CH" w:eastAsia="de-CH"/>
              </w:rPr>
              <w:t>0.552 ± 0.020</w:t>
            </w:r>
          </w:p>
        </w:tc>
        <w:tc>
          <w:tcPr>
            <w:tcW w:w="1881" w:type="dxa"/>
            <w:shd w:val="clear" w:color="auto" w:fill="auto"/>
            <w:noWrap/>
            <w:vAlign w:val="bottom"/>
            <w:hideMark/>
          </w:tcPr>
          <w:p w14:paraId="79B09609" w14:textId="16CA388A" w:rsidR="000A3AC3" w:rsidRPr="002825FF" w:rsidRDefault="000A3AC3" w:rsidP="002825FF">
            <w:pPr>
              <w:spacing w:line="240" w:lineRule="auto"/>
              <w:jc w:val="center"/>
              <w:rPr>
                <w:szCs w:val="20"/>
                <w:lang w:val="de-CH" w:eastAsia="de-CH"/>
              </w:rPr>
            </w:pPr>
            <w:r w:rsidRPr="002825FF">
              <w:rPr>
                <w:szCs w:val="20"/>
                <w:lang w:val="de-CH" w:eastAsia="de-CH"/>
              </w:rPr>
              <w:t>0.955 ± 0.169</w:t>
            </w:r>
          </w:p>
        </w:tc>
        <w:tc>
          <w:tcPr>
            <w:tcW w:w="850" w:type="dxa"/>
            <w:vMerge w:val="restart"/>
            <w:shd w:val="clear" w:color="auto" w:fill="auto"/>
            <w:noWrap/>
            <w:vAlign w:val="center"/>
            <w:hideMark/>
          </w:tcPr>
          <w:p w14:paraId="0678D3CE" w14:textId="31BA3FF3" w:rsidR="000A3AC3" w:rsidRPr="002825FF" w:rsidRDefault="000A3AC3" w:rsidP="002825FF">
            <w:pPr>
              <w:spacing w:line="240" w:lineRule="auto"/>
              <w:jc w:val="center"/>
              <w:rPr>
                <w:szCs w:val="20"/>
                <w:lang w:val="de-CH" w:eastAsia="de-CH"/>
              </w:rPr>
            </w:pPr>
            <w:r w:rsidRPr="002825FF">
              <w:rPr>
                <w:szCs w:val="20"/>
                <w:lang w:val="de-CH" w:eastAsia="de-CH"/>
              </w:rPr>
              <w:t>1.516</w:t>
            </w:r>
          </w:p>
        </w:tc>
      </w:tr>
      <w:tr w:rsidR="000A3AC3" w:rsidRPr="002825FF" w14:paraId="76DCD2E9" w14:textId="77777777" w:rsidTr="000A3AC3">
        <w:trPr>
          <w:trHeight w:val="300"/>
        </w:trPr>
        <w:tc>
          <w:tcPr>
            <w:tcW w:w="282" w:type="dxa"/>
          </w:tcPr>
          <w:p w14:paraId="5064B330" w14:textId="77777777" w:rsidR="000A3AC3" w:rsidRPr="002825FF" w:rsidRDefault="000A3AC3" w:rsidP="002825FF">
            <w:pPr>
              <w:spacing w:line="240" w:lineRule="auto"/>
              <w:rPr>
                <w:szCs w:val="20"/>
                <w:lang w:val="de-CH" w:eastAsia="de-CH"/>
              </w:rPr>
            </w:pPr>
          </w:p>
        </w:tc>
        <w:tc>
          <w:tcPr>
            <w:tcW w:w="1178" w:type="dxa"/>
            <w:shd w:val="clear" w:color="auto" w:fill="auto"/>
            <w:noWrap/>
            <w:vAlign w:val="bottom"/>
            <w:hideMark/>
          </w:tcPr>
          <w:p w14:paraId="269C8AFA" w14:textId="589518C2" w:rsidR="000A3AC3" w:rsidRPr="002825FF" w:rsidRDefault="000A3AC3" w:rsidP="002825FF">
            <w:pPr>
              <w:spacing w:line="240" w:lineRule="auto"/>
              <w:rPr>
                <w:szCs w:val="20"/>
                <w:lang w:val="de-CH" w:eastAsia="de-CH"/>
              </w:rPr>
            </w:pPr>
            <w:r w:rsidRPr="002825FF">
              <w:rPr>
                <w:szCs w:val="20"/>
                <w:lang w:val="de-CH" w:eastAsia="de-CH"/>
              </w:rPr>
              <w:t>Deuterium</w:t>
            </w:r>
          </w:p>
        </w:tc>
        <w:tc>
          <w:tcPr>
            <w:tcW w:w="250" w:type="dxa"/>
          </w:tcPr>
          <w:p w14:paraId="79BBC99F" w14:textId="5C84B0BD" w:rsidR="000A3AC3" w:rsidRPr="002825FF" w:rsidRDefault="000A3AC3" w:rsidP="002825FF">
            <w:pPr>
              <w:spacing w:line="240" w:lineRule="auto"/>
              <w:jc w:val="left"/>
              <w:rPr>
                <w:szCs w:val="20"/>
                <w:lang w:val="de-CH" w:eastAsia="de-CH"/>
              </w:rPr>
            </w:pPr>
            <w:r w:rsidRPr="002825FF">
              <w:rPr>
                <w:szCs w:val="20"/>
                <w:lang w:val="de-CH" w:eastAsia="de-CH"/>
              </w:rPr>
              <w:t>–</w:t>
            </w:r>
          </w:p>
        </w:tc>
        <w:tc>
          <w:tcPr>
            <w:tcW w:w="1839" w:type="dxa"/>
            <w:tcBorders>
              <w:left w:val="nil"/>
            </w:tcBorders>
            <w:shd w:val="clear" w:color="auto" w:fill="auto"/>
            <w:noWrap/>
            <w:vAlign w:val="bottom"/>
            <w:hideMark/>
          </w:tcPr>
          <w:p w14:paraId="5E8C72CF" w14:textId="75207880" w:rsidR="000A3AC3" w:rsidRPr="002825FF" w:rsidRDefault="000A3AC3" w:rsidP="002825FF">
            <w:pPr>
              <w:spacing w:line="240" w:lineRule="auto"/>
              <w:jc w:val="left"/>
              <w:rPr>
                <w:szCs w:val="20"/>
                <w:lang w:val="de-CH" w:eastAsia="de-CH"/>
              </w:rPr>
            </w:pPr>
            <w:proofErr w:type="spellStart"/>
            <w:r w:rsidRPr="002825FF">
              <w:rPr>
                <w:szCs w:val="20"/>
                <w:lang w:val="de-CH" w:eastAsia="de-CH"/>
              </w:rPr>
              <w:t>unweighted</w:t>
            </w:r>
            <w:proofErr w:type="spellEnd"/>
          </w:p>
        </w:tc>
        <w:tc>
          <w:tcPr>
            <w:tcW w:w="1880" w:type="dxa"/>
            <w:shd w:val="clear" w:color="auto" w:fill="auto"/>
            <w:noWrap/>
            <w:vAlign w:val="bottom"/>
            <w:hideMark/>
          </w:tcPr>
          <w:p w14:paraId="78652C58" w14:textId="65EA6343" w:rsidR="000A3AC3" w:rsidRPr="002825FF" w:rsidRDefault="000A3AC3" w:rsidP="002825FF">
            <w:pPr>
              <w:spacing w:line="240" w:lineRule="auto"/>
              <w:jc w:val="center"/>
              <w:rPr>
                <w:szCs w:val="20"/>
                <w:lang w:val="de-CH" w:eastAsia="de-CH"/>
              </w:rPr>
            </w:pPr>
            <w:r w:rsidRPr="002825FF">
              <w:rPr>
                <w:szCs w:val="20"/>
                <w:lang w:val="de-CH" w:eastAsia="de-CH"/>
              </w:rPr>
              <w:t>0.994 ± 0.134</w:t>
            </w:r>
          </w:p>
        </w:tc>
        <w:tc>
          <w:tcPr>
            <w:tcW w:w="1880" w:type="dxa"/>
            <w:shd w:val="clear" w:color="auto" w:fill="auto"/>
            <w:noWrap/>
            <w:vAlign w:val="bottom"/>
            <w:hideMark/>
          </w:tcPr>
          <w:p w14:paraId="6201988E" w14:textId="45752438" w:rsidR="000A3AC3" w:rsidRPr="002825FF" w:rsidRDefault="000A3AC3" w:rsidP="002825FF">
            <w:pPr>
              <w:spacing w:line="240" w:lineRule="auto"/>
              <w:jc w:val="center"/>
              <w:rPr>
                <w:szCs w:val="20"/>
                <w:lang w:val="de-CH" w:eastAsia="de-CH"/>
              </w:rPr>
            </w:pPr>
            <w:r w:rsidRPr="002825FF">
              <w:rPr>
                <w:szCs w:val="20"/>
                <w:lang w:val="de-CH" w:eastAsia="de-CH"/>
              </w:rPr>
              <w:t>0.634 ± 0.020</w:t>
            </w:r>
          </w:p>
        </w:tc>
        <w:tc>
          <w:tcPr>
            <w:tcW w:w="1881" w:type="dxa"/>
            <w:shd w:val="clear" w:color="auto" w:fill="auto"/>
            <w:noWrap/>
            <w:vAlign w:val="bottom"/>
            <w:hideMark/>
          </w:tcPr>
          <w:p w14:paraId="1536DED8" w14:textId="79AF2531" w:rsidR="000A3AC3" w:rsidRPr="002825FF" w:rsidRDefault="000A3AC3" w:rsidP="002825FF">
            <w:pPr>
              <w:spacing w:line="240" w:lineRule="auto"/>
              <w:jc w:val="center"/>
              <w:rPr>
                <w:szCs w:val="20"/>
                <w:lang w:val="de-CH" w:eastAsia="de-CH"/>
              </w:rPr>
            </w:pPr>
            <w:r w:rsidRPr="002825FF">
              <w:rPr>
                <w:szCs w:val="20"/>
                <w:lang w:val="de-CH" w:eastAsia="de-CH"/>
              </w:rPr>
              <w:t>0.630 ± 0.087</w:t>
            </w:r>
          </w:p>
        </w:tc>
        <w:tc>
          <w:tcPr>
            <w:tcW w:w="850" w:type="dxa"/>
            <w:vMerge/>
            <w:shd w:val="clear" w:color="auto" w:fill="auto"/>
            <w:noWrap/>
            <w:vAlign w:val="center"/>
            <w:hideMark/>
          </w:tcPr>
          <w:p w14:paraId="750FB698" w14:textId="72A4A77C" w:rsidR="000A3AC3" w:rsidRPr="002825FF" w:rsidRDefault="000A3AC3" w:rsidP="002825FF">
            <w:pPr>
              <w:spacing w:line="240" w:lineRule="auto"/>
              <w:jc w:val="center"/>
              <w:rPr>
                <w:szCs w:val="20"/>
                <w:lang w:val="de-CH" w:eastAsia="de-CH"/>
              </w:rPr>
            </w:pPr>
          </w:p>
        </w:tc>
      </w:tr>
      <w:tr w:rsidR="000A3AC3" w:rsidRPr="002825FF" w14:paraId="7CF4ED69" w14:textId="77777777" w:rsidTr="000A3AC3">
        <w:trPr>
          <w:trHeight w:val="300"/>
        </w:trPr>
        <w:tc>
          <w:tcPr>
            <w:tcW w:w="282" w:type="dxa"/>
          </w:tcPr>
          <w:p w14:paraId="7307739F" w14:textId="77777777" w:rsidR="000A3AC3" w:rsidRPr="002825FF" w:rsidRDefault="000A3AC3" w:rsidP="002825FF">
            <w:pPr>
              <w:spacing w:line="240" w:lineRule="auto"/>
              <w:rPr>
                <w:szCs w:val="20"/>
                <w:lang w:val="de-CH" w:eastAsia="de-CH"/>
              </w:rPr>
            </w:pPr>
          </w:p>
        </w:tc>
        <w:tc>
          <w:tcPr>
            <w:tcW w:w="1178" w:type="dxa"/>
            <w:shd w:val="clear" w:color="auto" w:fill="auto"/>
            <w:noWrap/>
            <w:vAlign w:val="bottom"/>
            <w:hideMark/>
          </w:tcPr>
          <w:p w14:paraId="109431DA" w14:textId="5050D114" w:rsidR="000A3AC3" w:rsidRPr="002825FF" w:rsidRDefault="000A3AC3" w:rsidP="002825FF">
            <w:pPr>
              <w:spacing w:line="240" w:lineRule="auto"/>
              <w:rPr>
                <w:szCs w:val="20"/>
                <w:lang w:val="de-CH" w:eastAsia="de-CH"/>
              </w:rPr>
            </w:pPr>
            <w:r w:rsidRPr="002825FF">
              <w:rPr>
                <w:szCs w:val="20"/>
                <w:lang w:val="de-CH" w:eastAsia="de-CH"/>
              </w:rPr>
              <w:t>Oxygen-18</w:t>
            </w:r>
          </w:p>
        </w:tc>
        <w:tc>
          <w:tcPr>
            <w:tcW w:w="250" w:type="dxa"/>
          </w:tcPr>
          <w:p w14:paraId="1D0255C2" w14:textId="2E657A17" w:rsidR="000A3AC3" w:rsidRPr="002825FF" w:rsidRDefault="000A3AC3" w:rsidP="002825FF">
            <w:pPr>
              <w:spacing w:line="240" w:lineRule="auto"/>
              <w:jc w:val="left"/>
              <w:rPr>
                <w:szCs w:val="20"/>
                <w:lang w:val="de-CH" w:eastAsia="de-CH"/>
              </w:rPr>
            </w:pPr>
            <w:r w:rsidRPr="002825FF">
              <w:rPr>
                <w:szCs w:val="20"/>
                <w:lang w:val="de-CH" w:eastAsia="de-CH"/>
              </w:rPr>
              <w:t>–</w:t>
            </w:r>
          </w:p>
        </w:tc>
        <w:tc>
          <w:tcPr>
            <w:tcW w:w="1839" w:type="dxa"/>
            <w:tcBorders>
              <w:left w:val="nil"/>
            </w:tcBorders>
            <w:shd w:val="clear" w:color="auto" w:fill="auto"/>
            <w:noWrap/>
            <w:vAlign w:val="bottom"/>
            <w:hideMark/>
          </w:tcPr>
          <w:p w14:paraId="20493FC1" w14:textId="3432D42B" w:rsidR="000A3AC3" w:rsidRPr="002825FF" w:rsidRDefault="000A3AC3" w:rsidP="002825FF">
            <w:pPr>
              <w:spacing w:line="240" w:lineRule="auto"/>
              <w:jc w:val="left"/>
              <w:rPr>
                <w:szCs w:val="20"/>
                <w:lang w:val="de-CH" w:eastAsia="de-CH"/>
              </w:rPr>
            </w:pPr>
            <w:proofErr w:type="spellStart"/>
            <w:r w:rsidRPr="002825FF">
              <w:rPr>
                <w:szCs w:val="20"/>
                <w:lang w:val="de-CH" w:eastAsia="de-CH"/>
              </w:rPr>
              <w:t>volume-weighted</w:t>
            </w:r>
            <w:proofErr w:type="spellEnd"/>
          </w:p>
        </w:tc>
        <w:tc>
          <w:tcPr>
            <w:tcW w:w="1880" w:type="dxa"/>
            <w:shd w:val="clear" w:color="auto" w:fill="auto"/>
            <w:noWrap/>
            <w:vAlign w:val="bottom"/>
            <w:hideMark/>
          </w:tcPr>
          <w:p w14:paraId="1790AD9F" w14:textId="689B5106" w:rsidR="000A3AC3" w:rsidRPr="002825FF" w:rsidRDefault="000A3AC3" w:rsidP="002825FF">
            <w:pPr>
              <w:spacing w:line="240" w:lineRule="auto"/>
              <w:jc w:val="center"/>
              <w:rPr>
                <w:szCs w:val="20"/>
                <w:lang w:val="de-CH" w:eastAsia="de-CH"/>
              </w:rPr>
            </w:pPr>
            <w:r w:rsidRPr="002825FF">
              <w:rPr>
                <w:szCs w:val="20"/>
                <w:lang w:val="de-CH" w:eastAsia="de-CH"/>
              </w:rPr>
              <w:t>2.161 ± 0.462</w:t>
            </w:r>
          </w:p>
        </w:tc>
        <w:tc>
          <w:tcPr>
            <w:tcW w:w="1880" w:type="dxa"/>
            <w:shd w:val="clear" w:color="auto" w:fill="auto"/>
            <w:noWrap/>
            <w:vAlign w:val="bottom"/>
            <w:hideMark/>
          </w:tcPr>
          <w:p w14:paraId="4884A103" w14:textId="39651B49" w:rsidR="000A3AC3" w:rsidRPr="002825FF" w:rsidRDefault="000A3AC3" w:rsidP="002825FF">
            <w:pPr>
              <w:spacing w:line="240" w:lineRule="auto"/>
              <w:jc w:val="center"/>
              <w:rPr>
                <w:szCs w:val="20"/>
                <w:lang w:val="de-CH" w:eastAsia="de-CH"/>
              </w:rPr>
            </w:pPr>
            <w:r w:rsidRPr="002825FF">
              <w:rPr>
                <w:szCs w:val="20"/>
                <w:lang w:val="de-CH" w:eastAsia="de-CH"/>
              </w:rPr>
              <w:t>0.463 ± 0.020</w:t>
            </w:r>
          </w:p>
        </w:tc>
        <w:tc>
          <w:tcPr>
            <w:tcW w:w="1881" w:type="dxa"/>
            <w:shd w:val="clear" w:color="auto" w:fill="auto"/>
            <w:noWrap/>
            <w:vAlign w:val="bottom"/>
            <w:hideMark/>
          </w:tcPr>
          <w:p w14:paraId="6089356F" w14:textId="53C75EB5" w:rsidR="000A3AC3" w:rsidRPr="002825FF" w:rsidRDefault="000A3AC3" w:rsidP="002825FF">
            <w:pPr>
              <w:spacing w:line="240" w:lineRule="auto"/>
              <w:jc w:val="center"/>
              <w:rPr>
                <w:szCs w:val="20"/>
                <w:lang w:val="de-CH" w:eastAsia="de-CH"/>
              </w:rPr>
            </w:pPr>
            <w:r w:rsidRPr="002825FF">
              <w:rPr>
                <w:szCs w:val="20"/>
                <w:lang w:val="de-CH" w:eastAsia="de-CH"/>
              </w:rPr>
              <w:t>1.000 ± 0.218</w:t>
            </w:r>
          </w:p>
        </w:tc>
        <w:tc>
          <w:tcPr>
            <w:tcW w:w="850" w:type="dxa"/>
            <w:vMerge w:val="restart"/>
            <w:shd w:val="clear" w:color="auto" w:fill="auto"/>
            <w:noWrap/>
            <w:vAlign w:val="center"/>
            <w:hideMark/>
          </w:tcPr>
          <w:p w14:paraId="0AD3DDE9" w14:textId="4BA59F13" w:rsidR="000A3AC3" w:rsidRPr="002825FF" w:rsidRDefault="000A3AC3" w:rsidP="002825FF">
            <w:pPr>
              <w:spacing w:line="240" w:lineRule="auto"/>
              <w:jc w:val="center"/>
              <w:rPr>
                <w:szCs w:val="20"/>
                <w:lang w:val="de-CH" w:eastAsia="de-CH"/>
              </w:rPr>
            </w:pPr>
            <w:r w:rsidRPr="002825FF">
              <w:rPr>
                <w:szCs w:val="20"/>
                <w:lang w:val="de-CH" w:eastAsia="de-CH"/>
              </w:rPr>
              <w:t>2.270</w:t>
            </w:r>
          </w:p>
        </w:tc>
      </w:tr>
      <w:tr w:rsidR="000A3AC3" w:rsidRPr="002825FF" w14:paraId="7B9FE3D7" w14:textId="77777777" w:rsidTr="000A3AC3">
        <w:trPr>
          <w:trHeight w:val="300"/>
        </w:trPr>
        <w:tc>
          <w:tcPr>
            <w:tcW w:w="282" w:type="dxa"/>
            <w:tcBorders>
              <w:bottom w:val="single" w:sz="4" w:space="0" w:color="auto"/>
            </w:tcBorders>
          </w:tcPr>
          <w:p w14:paraId="0A2F43BA" w14:textId="77777777" w:rsidR="000A3AC3" w:rsidRPr="002825FF" w:rsidRDefault="000A3AC3" w:rsidP="002825FF">
            <w:pPr>
              <w:spacing w:line="240" w:lineRule="auto"/>
              <w:rPr>
                <w:szCs w:val="20"/>
                <w:lang w:val="de-CH" w:eastAsia="de-CH"/>
              </w:rPr>
            </w:pPr>
          </w:p>
        </w:tc>
        <w:tc>
          <w:tcPr>
            <w:tcW w:w="1178" w:type="dxa"/>
            <w:tcBorders>
              <w:bottom w:val="single" w:sz="4" w:space="0" w:color="auto"/>
            </w:tcBorders>
            <w:shd w:val="clear" w:color="auto" w:fill="auto"/>
            <w:noWrap/>
            <w:vAlign w:val="bottom"/>
            <w:hideMark/>
          </w:tcPr>
          <w:p w14:paraId="5B44D712" w14:textId="408B4174" w:rsidR="000A3AC3" w:rsidRPr="002825FF" w:rsidRDefault="000A3AC3" w:rsidP="002825FF">
            <w:pPr>
              <w:spacing w:line="240" w:lineRule="auto"/>
              <w:rPr>
                <w:szCs w:val="20"/>
                <w:lang w:val="de-CH" w:eastAsia="de-CH"/>
              </w:rPr>
            </w:pPr>
            <w:r w:rsidRPr="002825FF">
              <w:rPr>
                <w:szCs w:val="20"/>
                <w:lang w:val="de-CH" w:eastAsia="de-CH"/>
              </w:rPr>
              <w:t>Deuterium</w:t>
            </w:r>
          </w:p>
        </w:tc>
        <w:tc>
          <w:tcPr>
            <w:tcW w:w="250" w:type="dxa"/>
            <w:tcBorders>
              <w:bottom w:val="single" w:sz="4" w:space="0" w:color="auto"/>
            </w:tcBorders>
          </w:tcPr>
          <w:p w14:paraId="1773CD57" w14:textId="3654769A" w:rsidR="000A3AC3" w:rsidRPr="002825FF" w:rsidRDefault="000A3AC3" w:rsidP="002825FF">
            <w:pPr>
              <w:spacing w:line="240" w:lineRule="auto"/>
              <w:jc w:val="left"/>
              <w:rPr>
                <w:szCs w:val="20"/>
                <w:lang w:val="de-CH" w:eastAsia="de-CH"/>
              </w:rPr>
            </w:pPr>
            <w:r w:rsidRPr="002825FF">
              <w:rPr>
                <w:szCs w:val="20"/>
                <w:lang w:val="de-CH" w:eastAsia="de-CH"/>
              </w:rPr>
              <w:t>–</w:t>
            </w:r>
          </w:p>
        </w:tc>
        <w:tc>
          <w:tcPr>
            <w:tcW w:w="1839" w:type="dxa"/>
            <w:tcBorders>
              <w:left w:val="nil"/>
              <w:bottom w:val="single" w:sz="4" w:space="0" w:color="auto"/>
            </w:tcBorders>
            <w:shd w:val="clear" w:color="auto" w:fill="auto"/>
            <w:noWrap/>
            <w:vAlign w:val="bottom"/>
            <w:hideMark/>
          </w:tcPr>
          <w:p w14:paraId="7AFBA62D" w14:textId="7DA0A8AC" w:rsidR="000A3AC3" w:rsidRPr="002825FF" w:rsidRDefault="000A3AC3" w:rsidP="002825FF">
            <w:pPr>
              <w:spacing w:line="240" w:lineRule="auto"/>
              <w:jc w:val="left"/>
              <w:rPr>
                <w:szCs w:val="20"/>
                <w:lang w:val="de-CH" w:eastAsia="de-CH"/>
              </w:rPr>
            </w:pPr>
            <w:proofErr w:type="spellStart"/>
            <w:r w:rsidRPr="002825FF">
              <w:rPr>
                <w:szCs w:val="20"/>
                <w:lang w:val="de-CH" w:eastAsia="de-CH"/>
              </w:rPr>
              <w:t>volume-weighted</w:t>
            </w:r>
            <w:proofErr w:type="spellEnd"/>
          </w:p>
        </w:tc>
        <w:tc>
          <w:tcPr>
            <w:tcW w:w="1880" w:type="dxa"/>
            <w:tcBorders>
              <w:bottom w:val="single" w:sz="4" w:space="0" w:color="auto"/>
            </w:tcBorders>
            <w:shd w:val="clear" w:color="auto" w:fill="auto"/>
            <w:noWrap/>
            <w:vAlign w:val="bottom"/>
            <w:hideMark/>
          </w:tcPr>
          <w:p w14:paraId="11F5F6F0" w14:textId="024B935C" w:rsidR="000A3AC3" w:rsidRPr="002825FF" w:rsidRDefault="000A3AC3" w:rsidP="002825FF">
            <w:pPr>
              <w:spacing w:line="240" w:lineRule="auto"/>
              <w:jc w:val="center"/>
              <w:rPr>
                <w:szCs w:val="20"/>
                <w:lang w:val="de-CH" w:eastAsia="de-CH"/>
              </w:rPr>
            </w:pPr>
            <w:r w:rsidRPr="002825FF">
              <w:rPr>
                <w:szCs w:val="20"/>
                <w:lang w:val="de-CH" w:eastAsia="de-CH"/>
              </w:rPr>
              <w:t>0.816 ± 0.117</w:t>
            </w:r>
          </w:p>
        </w:tc>
        <w:tc>
          <w:tcPr>
            <w:tcW w:w="1880" w:type="dxa"/>
            <w:tcBorders>
              <w:bottom w:val="single" w:sz="4" w:space="0" w:color="auto"/>
            </w:tcBorders>
            <w:shd w:val="clear" w:color="auto" w:fill="auto"/>
            <w:noWrap/>
            <w:vAlign w:val="bottom"/>
            <w:hideMark/>
          </w:tcPr>
          <w:p w14:paraId="6F3F59C4" w14:textId="277E46F5" w:rsidR="000A3AC3" w:rsidRPr="002825FF" w:rsidRDefault="000A3AC3" w:rsidP="002825FF">
            <w:pPr>
              <w:spacing w:line="240" w:lineRule="auto"/>
              <w:jc w:val="center"/>
              <w:rPr>
                <w:szCs w:val="20"/>
                <w:lang w:val="de-CH" w:eastAsia="de-CH"/>
              </w:rPr>
            </w:pPr>
            <w:r w:rsidRPr="002825FF">
              <w:rPr>
                <w:szCs w:val="20"/>
                <w:lang w:val="de-CH" w:eastAsia="de-CH"/>
              </w:rPr>
              <w:t>0.540 ± 0.019</w:t>
            </w:r>
          </w:p>
        </w:tc>
        <w:tc>
          <w:tcPr>
            <w:tcW w:w="1881" w:type="dxa"/>
            <w:tcBorders>
              <w:bottom w:val="single" w:sz="4" w:space="0" w:color="auto"/>
            </w:tcBorders>
            <w:shd w:val="clear" w:color="auto" w:fill="auto"/>
            <w:noWrap/>
            <w:vAlign w:val="bottom"/>
            <w:hideMark/>
          </w:tcPr>
          <w:p w14:paraId="43BFDCFC" w14:textId="48A18CD8" w:rsidR="000A3AC3" w:rsidRPr="002825FF" w:rsidRDefault="000A3AC3" w:rsidP="002825FF">
            <w:pPr>
              <w:spacing w:line="240" w:lineRule="auto"/>
              <w:jc w:val="center"/>
              <w:rPr>
                <w:szCs w:val="20"/>
                <w:lang w:val="de-CH" w:eastAsia="de-CH"/>
              </w:rPr>
            </w:pPr>
            <w:r w:rsidRPr="002825FF">
              <w:rPr>
                <w:szCs w:val="20"/>
                <w:lang w:val="de-CH" w:eastAsia="de-CH"/>
              </w:rPr>
              <w:t>0.440 ± 0.065</w:t>
            </w:r>
          </w:p>
        </w:tc>
        <w:tc>
          <w:tcPr>
            <w:tcW w:w="850" w:type="dxa"/>
            <w:vMerge/>
            <w:tcBorders>
              <w:bottom w:val="single" w:sz="4" w:space="0" w:color="auto"/>
            </w:tcBorders>
            <w:shd w:val="clear" w:color="auto" w:fill="auto"/>
            <w:noWrap/>
            <w:vAlign w:val="bottom"/>
            <w:hideMark/>
          </w:tcPr>
          <w:p w14:paraId="328D8E7B" w14:textId="00AB6DF2" w:rsidR="000A3AC3" w:rsidRPr="002825FF" w:rsidRDefault="000A3AC3" w:rsidP="002825FF">
            <w:pPr>
              <w:spacing w:line="240" w:lineRule="auto"/>
              <w:jc w:val="center"/>
              <w:rPr>
                <w:szCs w:val="20"/>
                <w:lang w:val="de-CH" w:eastAsia="de-CH"/>
              </w:rPr>
            </w:pPr>
          </w:p>
        </w:tc>
      </w:tr>
    </w:tbl>
    <w:p w14:paraId="2CCF5750" w14:textId="57A0427A" w:rsidR="00923E56" w:rsidRDefault="000A3AC3" w:rsidP="00923E56">
      <w:pPr>
        <w:rPr>
          <w:sz w:val="18"/>
          <w:szCs w:val="18"/>
          <w:lang w:val="en-US" w:eastAsia="de-CH"/>
        </w:rPr>
      </w:pPr>
      <w:r w:rsidRPr="002825FF">
        <w:rPr>
          <w:sz w:val="18"/>
          <w:szCs w:val="18"/>
          <w:vertAlign w:val="superscript"/>
          <w:lang w:val="en-US"/>
        </w:rPr>
        <w:t>a</w:t>
      </w:r>
      <w:r w:rsidR="00923E56" w:rsidRPr="002825FF">
        <w:rPr>
          <w:sz w:val="18"/>
          <w:szCs w:val="18"/>
          <w:lang w:val="en-US"/>
        </w:rPr>
        <w:t xml:space="preserve"> ratio </w:t>
      </w:r>
      <w:r w:rsidR="00923E56" w:rsidRPr="002825FF">
        <w:rPr>
          <w:sz w:val="18"/>
          <w:szCs w:val="18"/>
          <w:lang w:val="en-US" w:eastAsia="de-CH"/>
        </w:rPr>
        <w:t>between mean transit times determined from oxygen-18 and deuterium.</w:t>
      </w:r>
    </w:p>
    <w:p w14:paraId="3A232693" w14:textId="220AC686" w:rsidR="00A83AF9" w:rsidRDefault="00A83AF9" w:rsidP="00923E56">
      <w:pPr>
        <w:rPr>
          <w:sz w:val="18"/>
          <w:szCs w:val="18"/>
          <w:lang w:val="en-US" w:eastAsia="de-CH"/>
        </w:rPr>
      </w:pPr>
    </w:p>
    <w:p w14:paraId="126EB7A8" w14:textId="77777777" w:rsidR="00A83AF9" w:rsidRPr="002825FF" w:rsidRDefault="00A83AF9" w:rsidP="00923E56">
      <w:pPr>
        <w:rPr>
          <w:sz w:val="18"/>
          <w:szCs w:val="18"/>
          <w:lang w:val="en-US"/>
        </w:rPr>
      </w:pPr>
    </w:p>
    <w:p w14:paraId="3BABEEBB" w14:textId="5E81A6E1" w:rsidR="00923E56" w:rsidRDefault="00923E56" w:rsidP="00923E56">
      <w:pPr>
        <w:rPr>
          <w:lang w:val="en-US"/>
        </w:rPr>
      </w:pPr>
    </w:p>
    <w:p w14:paraId="2EEBFFA6" w14:textId="6F43C3A8" w:rsidR="004A69C3" w:rsidRDefault="005638ED" w:rsidP="00923E56">
      <w:pPr>
        <w:rPr>
          <w:lang w:val="en-US"/>
        </w:rPr>
      </w:pPr>
      <w:r>
        <w:rPr>
          <w:noProof/>
          <w:lang w:val="de-CH" w:eastAsia="de-CH"/>
        </w:rPr>
        <w:drawing>
          <wp:inline distT="0" distB="0" distL="0" distR="0" wp14:anchorId="15B5FF97" wp14:editId="4116A425">
            <wp:extent cx="6372225" cy="3982457"/>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TTDs_spectra_EHS_comp_LHF.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372225" cy="3982457"/>
                    </a:xfrm>
                    <a:prstGeom prst="rect">
                      <a:avLst/>
                    </a:prstGeom>
                  </pic:spPr>
                </pic:pic>
              </a:graphicData>
            </a:graphic>
          </wp:inline>
        </w:drawing>
      </w:r>
    </w:p>
    <w:p w14:paraId="15502469" w14:textId="17DB2F5F" w:rsidR="004A69C3" w:rsidRDefault="005638ED" w:rsidP="005638ED">
      <w:pPr>
        <w:pStyle w:val="Caption"/>
        <w:rPr>
          <w:lang w:val="en-US"/>
        </w:rPr>
      </w:pPr>
      <w:r>
        <w:rPr>
          <w:lang w:val="en-US"/>
        </w:rPr>
        <w:t xml:space="preserve">Figure S6: </w:t>
      </w:r>
      <w:r>
        <w:t>Fits of convolution models to unweighted (a) and volume-weighted (b) power spectra of oxygen-18 in precipitation and streamwater at Lower Hafren, and gamma distributions estimated by spectral fitting for both deuterium (red lines) and oxygen-18 (blue lines), compared to ensemble hydrograph separation estimates (dots, with standard errors) of unweighted (c) and volume-weighted (d) transit time distributions.</w:t>
      </w:r>
      <w:r w:rsidRPr="001C74BD">
        <w:rPr>
          <w:lang w:val="en-US"/>
        </w:rPr>
        <w:t xml:space="preserve"> </w:t>
      </w:r>
      <w:r>
        <w:rPr>
          <w:lang w:val="en-US"/>
        </w:rPr>
        <w:t xml:space="preserve"> </w:t>
      </w:r>
    </w:p>
    <w:p w14:paraId="4EB5180B" w14:textId="19F53219" w:rsidR="005638ED" w:rsidRDefault="005638ED" w:rsidP="005638ED">
      <w:pPr>
        <w:rPr>
          <w:lang w:val="en-US"/>
        </w:rPr>
      </w:pPr>
    </w:p>
    <w:p w14:paraId="6E8FB6B5" w14:textId="428FF90C" w:rsidR="005638ED" w:rsidRDefault="00D1158F" w:rsidP="005638ED">
      <w:pPr>
        <w:rPr>
          <w:lang w:val="en-US"/>
        </w:rPr>
      </w:pPr>
      <w:r>
        <w:rPr>
          <w:noProof/>
          <w:lang w:val="de-CH" w:eastAsia="de-CH"/>
        </w:rPr>
        <w:lastRenderedPageBreak/>
        <w:drawing>
          <wp:inline distT="0" distB="0" distL="0" distR="0" wp14:anchorId="0CD46D11" wp14:editId="35799928">
            <wp:extent cx="6371255" cy="3995998"/>
            <wp:effectExtent l="0" t="0" r="0" b="508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TTDs_spectra_EHS_comp_TAN.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371255" cy="3995998"/>
                    </a:xfrm>
                    <a:prstGeom prst="rect">
                      <a:avLst/>
                    </a:prstGeom>
                  </pic:spPr>
                </pic:pic>
              </a:graphicData>
            </a:graphic>
          </wp:inline>
        </w:drawing>
      </w:r>
    </w:p>
    <w:p w14:paraId="134D33FE" w14:textId="4F6B92A7" w:rsidR="00D1158F" w:rsidRPr="00D1158F" w:rsidRDefault="00D1158F" w:rsidP="00D1158F">
      <w:pPr>
        <w:pStyle w:val="Caption"/>
        <w:rPr>
          <w:color w:val="FF0000"/>
          <w:lang w:val="en-US"/>
        </w:rPr>
      </w:pPr>
      <w:r>
        <w:rPr>
          <w:lang w:val="en-US"/>
        </w:rPr>
        <w:t xml:space="preserve">Figure S7: </w:t>
      </w:r>
      <w:r>
        <w:t>Fits of convolution models to unweighted (a) and volume-weighted (b) power spectra of oxygen-18 in precipitation and streamwater at Tanllwyth, and gamma distributions estimated by spectral fitting for both deuterium (red lines) and oxygen-18 (blue lines), compared to ensemble hydrograph separation estimates (dots, with standard errors) of unweighted (c) and volume-weighted (d) transit time distributions.</w:t>
      </w:r>
      <w:r w:rsidRPr="001C74BD">
        <w:rPr>
          <w:lang w:val="en-US"/>
        </w:rPr>
        <w:t xml:space="preserve"> </w:t>
      </w:r>
      <w:r>
        <w:rPr>
          <w:lang w:val="en-US"/>
        </w:rPr>
        <w:t xml:space="preserve"> </w:t>
      </w:r>
    </w:p>
    <w:p w14:paraId="285216DB" w14:textId="77777777" w:rsidR="00D1158F" w:rsidRPr="005638ED" w:rsidRDefault="00D1158F" w:rsidP="005638ED">
      <w:pPr>
        <w:rPr>
          <w:lang w:val="en-US"/>
        </w:rPr>
      </w:pPr>
    </w:p>
    <w:p w14:paraId="742A7D7A" w14:textId="7CE87BBF" w:rsidR="00E22F3D" w:rsidRPr="00E22F3D" w:rsidRDefault="00E22F3D" w:rsidP="00E22F3D">
      <w:pPr>
        <w:pStyle w:val="Heading2"/>
        <w:rPr>
          <w:lang w:val="en-US"/>
        </w:rPr>
      </w:pPr>
      <w:r w:rsidRPr="00E22F3D">
        <w:rPr>
          <w:lang w:val="en-US"/>
        </w:rPr>
        <w:t>References</w:t>
      </w:r>
    </w:p>
    <w:p w14:paraId="40D351FC" w14:textId="77777777" w:rsidR="00E22F3D" w:rsidRPr="00E22F3D" w:rsidRDefault="00E22F3D" w:rsidP="00E22F3D">
      <w:pPr>
        <w:pStyle w:val="EndNoteBibliography"/>
        <w:rPr>
          <w:lang w:val="en-US"/>
        </w:rPr>
      </w:pPr>
      <w:r w:rsidRPr="00E22F3D">
        <w:rPr>
          <w:lang w:val="en-US"/>
        </w:rPr>
        <w:t xml:space="preserve">Kirchner, J. W.: Quantifying new water fractions and transit time distributions using ensemble hydrograph separation: theory and benchmark tests, Hydrol. Earth Syst. Sci., 23, 303-349, </w:t>
      </w:r>
      <w:hyperlink r:id="rId17" w:history="1">
        <w:r w:rsidRPr="00E22F3D">
          <w:rPr>
            <w:rStyle w:val="Hyperlink"/>
            <w:lang w:val="en-US"/>
          </w:rPr>
          <w:t>https://doi.org/10.5194/hess-23-303-2019</w:t>
        </w:r>
      </w:hyperlink>
      <w:r w:rsidRPr="00E22F3D">
        <w:rPr>
          <w:lang w:val="en-US"/>
        </w:rPr>
        <w:t>, 2019.</w:t>
      </w:r>
    </w:p>
    <w:p w14:paraId="7DE04CF0" w14:textId="00E14863" w:rsidR="00E22F3D" w:rsidRDefault="00E22F3D" w:rsidP="009F2CC9">
      <w:pPr>
        <w:rPr>
          <w:lang w:val="en-US"/>
        </w:rPr>
      </w:pPr>
    </w:p>
    <w:p w14:paraId="24840482" w14:textId="77777777" w:rsidR="0018030F" w:rsidRDefault="0018030F">
      <w:pPr>
        <w:spacing w:line="240" w:lineRule="auto"/>
        <w:jc w:val="left"/>
        <w:rPr>
          <w:lang w:val="en-US"/>
        </w:rPr>
      </w:pPr>
    </w:p>
    <w:p w14:paraId="5DF3C648" w14:textId="77777777" w:rsidR="0018030F" w:rsidRDefault="0018030F">
      <w:pPr>
        <w:spacing w:line="240" w:lineRule="auto"/>
        <w:jc w:val="left"/>
        <w:rPr>
          <w:lang w:val="en-US"/>
        </w:rPr>
      </w:pPr>
    </w:p>
    <w:p w14:paraId="4580E052" w14:textId="02EFAEDE" w:rsidR="002C0504" w:rsidRDefault="002C0504">
      <w:pPr>
        <w:spacing w:line="240" w:lineRule="auto"/>
        <w:jc w:val="left"/>
        <w:rPr>
          <w:lang w:val="en-US"/>
        </w:rPr>
      </w:pPr>
    </w:p>
    <w:sectPr w:rsidR="002C0504" w:rsidSect="00A83AF9">
      <w:footerReference w:type="default" r:id="rId18"/>
      <w:pgSz w:w="11906" w:h="16838" w:code="9"/>
      <w:pgMar w:top="851" w:right="936" w:bottom="993" w:left="936" w:header="0"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42EB784" w14:textId="77777777" w:rsidR="00100796" w:rsidRDefault="00100796" w:rsidP="006D0C96">
      <w:pPr>
        <w:spacing w:line="240" w:lineRule="auto"/>
      </w:pPr>
      <w:r>
        <w:separator/>
      </w:r>
    </w:p>
  </w:endnote>
  <w:endnote w:type="continuationSeparator" w:id="0">
    <w:p w14:paraId="6F5ACAE5" w14:textId="77777777" w:rsidR="00100796" w:rsidRDefault="00100796" w:rsidP="006D0C9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SimHei">
    <w:altName w:val="黑体"/>
    <w:panose1 w:val="0201060003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71838271"/>
      <w:docPartObj>
        <w:docPartGallery w:val="Page Numbers (Bottom of Page)"/>
        <w:docPartUnique/>
      </w:docPartObj>
    </w:sdtPr>
    <w:sdtEndPr>
      <w:rPr>
        <w:noProof/>
      </w:rPr>
    </w:sdtEndPr>
    <w:sdtContent>
      <w:p w14:paraId="15786BEB" w14:textId="459C4478" w:rsidR="00950B42" w:rsidRDefault="00950B42">
        <w:pPr>
          <w:pStyle w:val="Footer"/>
          <w:jc w:val="center"/>
        </w:pPr>
        <w:r>
          <w:fldChar w:fldCharType="begin"/>
        </w:r>
        <w:r>
          <w:instrText xml:space="preserve"> PAGE   \* MERGEFORMAT </w:instrText>
        </w:r>
        <w:r>
          <w:fldChar w:fldCharType="separate"/>
        </w:r>
        <w:r w:rsidR="00777991">
          <w:rPr>
            <w:noProof/>
          </w:rPr>
          <w:t>8</w:t>
        </w:r>
        <w:r>
          <w:rPr>
            <w:noProof/>
          </w:rPr>
          <w:fldChar w:fldCharType="end"/>
        </w:r>
      </w:p>
    </w:sdtContent>
  </w:sdt>
  <w:p w14:paraId="47D0C427" w14:textId="77777777" w:rsidR="00950B42" w:rsidRDefault="00950B4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9BF67F3" w14:textId="77777777" w:rsidR="00100796" w:rsidRDefault="00100796" w:rsidP="006D0C96">
      <w:pPr>
        <w:spacing w:line="240" w:lineRule="auto"/>
      </w:pPr>
      <w:r>
        <w:separator/>
      </w:r>
    </w:p>
  </w:footnote>
  <w:footnote w:type="continuationSeparator" w:id="0">
    <w:p w14:paraId="37DB4C2E" w14:textId="77777777" w:rsidR="00100796" w:rsidRDefault="00100796" w:rsidP="006D0C96">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1E42E0"/>
    <w:multiLevelType w:val="hybridMultilevel"/>
    <w:tmpl w:val="838ADE32"/>
    <w:lvl w:ilvl="0" w:tplc="0807000F">
      <w:start w:val="1"/>
      <w:numFmt w:val="decima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 w15:restartNumberingAfterBreak="0">
    <w:nsid w:val="0B294403"/>
    <w:multiLevelType w:val="hybridMultilevel"/>
    <w:tmpl w:val="E6ECA0A2"/>
    <w:lvl w:ilvl="0" w:tplc="35A460C0">
      <w:start w:val="1"/>
      <w:numFmt w:val="decimal"/>
      <w:lvlText w:val="%1."/>
      <w:lvlJc w:val="left"/>
      <w:pPr>
        <w:ind w:left="720" w:hanging="360"/>
      </w:pPr>
      <w:rPr>
        <w:rFonts w:ascii="Times New Roman" w:hAnsi="Times New Roman" w:hint="default"/>
        <w:b w:val="0"/>
        <w:i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222228E9"/>
    <w:multiLevelType w:val="hybridMultilevel"/>
    <w:tmpl w:val="F7B22D24"/>
    <w:lvl w:ilvl="0" w:tplc="82685B68">
      <w:numFmt w:val="bullet"/>
      <w:lvlText w:val="-"/>
      <w:lvlJc w:val="left"/>
      <w:pPr>
        <w:ind w:left="720" w:hanging="360"/>
      </w:pPr>
      <w:rPr>
        <w:rFonts w:ascii="Calibri" w:eastAsiaTheme="minorHAnsi" w:hAnsi="Calibri" w:cs="Calibri"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 w15:restartNumberingAfterBreak="0">
    <w:nsid w:val="23621EB8"/>
    <w:multiLevelType w:val="hybridMultilevel"/>
    <w:tmpl w:val="B3626938"/>
    <w:lvl w:ilvl="0" w:tplc="F29A847E">
      <w:start w:val="1"/>
      <w:numFmt w:val="bullet"/>
      <w:pStyle w:val="Bullets"/>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34A26814"/>
    <w:multiLevelType w:val="hybridMultilevel"/>
    <w:tmpl w:val="77962700"/>
    <w:lvl w:ilvl="0" w:tplc="0B44AED4">
      <w:start w:val="35"/>
      <w:numFmt w:val="bullet"/>
      <w:lvlText w:val="-"/>
      <w:lvlJc w:val="left"/>
      <w:pPr>
        <w:ind w:left="720" w:hanging="360"/>
      </w:pPr>
      <w:rPr>
        <w:rFonts w:ascii="Times New Roman" w:eastAsia="Times New Roman" w:hAnsi="Times New Roman" w:cs="Times New Roman"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5" w15:restartNumberingAfterBreak="0">
    <w:nsid w:val="34C409B4"/>
    <w:multiLevelType w:val="hybridMultilevel"/>
    <w:tmpl w:val="FF2279BE"/>
    <w:lvl w:ilvl="0" w:tplc="0807000F">
      <w:start w:val="1"/>
      <w:numFmt w:val="decima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6" w15:restartNumberingAfterBreak="0">
    <w:nsid w:val="3C3B6B9C"/>
    <w:multiLevelType w:val="hybridMultilevel"/>
    <w:tmpl w:val="37285472"/>
    <w:lvl w:ilvl="0" w:tplc="26E2279E">
      <w:start w:val="5"/>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6018428A"/>
    <w:multiLevelType w:val="hybridMultilevel"/>
    <w:tmpl w:val="8E085712"/>
    <w:lvl w:ilvl="0" w:tplc="858CD470">
      <w:start w:val="5"/>
      <w:numFmt w:val="bullet"/>
      <w:lvlText w:val="-"/>
      <w:lvlJc w:val="left"/>
      <w:pPr>
        <w:ind w:left="720" w:hanging="360"/>
      </w:pPr>
      <w:rPr>
        <w:rFonts w:ascii="Times New Roman" w:eastAsia="Times New Roman" w:hAnsi="Times New Roman" w:cs="Times New Roman"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abstractNumId w:val="3"/>
  </w:num>
  <w:num w:numId="2">
    <w:abstractNumId w:val="3"/>
  </w:num>
  <w:num w:numId="3">
    <w:abstractNumId w:val="1"/>
  </w:num>
  <w:num w:numId="4">
    <w:abstractNumId w:val="5"/>
  </w:num>
  <w:num w:numId="5">
    <w:abstractNumId w:val="0"/>
  </w:num>
  <w:num w:numId="6">
    <w:abstractNumId w:val="7"/>
  </w:num>
  <w:num w:numId="7">
    <w:abstractNumId w:val="2"/>
  </w:num>
  <w:num w:numId="8">
    <w:abstractNumId w:val="6"/>
  </w:num>
  <w:num w:numId="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attachedTemplate r:id="rId1"/>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0&lt;/Enabled&gt;&lt;ScanUnformatted&gt;1&lt;/ScanUnformatted&gt;&lt;ScanChanges&gt;1&lt;/ScanChanges&gt;&lt;Suspended&gt;0&lt;/Suspended&gt;&lt;/ENInstantFormat&gt;"/>
    <w:docVar w:name="EN.Layout" w:val="&lt;ENLayout&gt;&lt;Style&gt;Copernicus_Publications Copy&lt;/Style&gt;&lt;LeftDelim&gt;{&lt;/LeftDelim&gt;&lt;RightDelim&gt;}&lt;/RightDelim&gt;&lt;FontName&gt;Times New Roman&lt;/FontName&gt;&lt;FontSize&gt;10&lt;/FontSize&gt;&lt;ReflistTitle&gt;&lt;/ReflistTitle&gt;&lt;StartingRefnum&gt;1&lt;/StartingRefnum&gt;&lt;FirstLineIndent&gt;0&lt;/FirstLineIndent&gt;&lt;HangingIndent&gt;720&lt;/HangingIndent&gt;&lt;LineSpacing&gt;1&lt;/LineSpacing&gt;&lt;SpaceAfter&gt;0&lt;/SpaceAfter&gt;&lt;HyperlinksEnabled&gt;0&lt;/HyperlinksEnabled&gt;&lt;HyperlinksVisible&gt;0&lt;/HyperlinksVisible&gt;&lt;EnableBibliographyCategories&gt;0&lt;/EnableBibliographyCategories&gt;&lt;/ENLayout&gt;"/>
    <w:docVar w:name="EN.Libraries" w:val="&lt;Libraries&gt;&lt;item db-id=&quot;dsep5rp0gwdsx8ewp0fpvdvlaf9e92erawdd&quot;&gt;My EndNote Library&lt;record-ids&gt;&lt;item&gt;2&lt;/item&gt;&lt;item&gt;4&lt;/item&gt;&lt;item&gt;5&lt;/item&gt;&lt;item&gt;6&lt;/item&gt;&lt;item&gt;7&lt;/item&gt;&lt;item&gt;24&lt;/item&gt;&lt;item&gt;25&lt;/item&gt;&lt;item&gt;27&lt;/item&gt;&lt;item&gt;32&lt;/item&gt;&lt;item&gt;39&lt;/item&gt;&lt;item&gt;51&lt;/item&gt;&lt;item&gt;54&lt;/item&gt;&lt;item&gt;58&lt;/item&gt;&lt;item&gt;59&lt;/item&gt;&lt;item&gt;60&lt;/item&gt;&lt;item&gt;61&lt;/item&gt;&lt;item&gt;62&lt;/item&gt;&lt;item&gt;63&lt;/item&gt;&lt;item&gt;64&lt;/item&gt;&lt;item&gt;65&lt;/item&gt;&lt;item&gt;66&lt;/item&gt;&lt;item&gt;67&lt;/item&gt;&lt;item&gt;70&lt;/item&gt;&lt;item&gt;72&lt;/item&gt;&lt;item&gt;76&lt;/item&gt;&lt;item&gt;80&lt;/item&gt;&lt;item&gt;81&lt;/item&gt;&lt;item&gt;82&lt;/item&gt;&lt;item&gt;83&lt;/item&gt;&lt;item&gt;84&lt;/item&gt;&lt;item&gt;89&lt;/item&gt;&lt;item&gt;90&lt;/item&gt;&lt;item&gt;91&lt;/item&gt;&lt;item&gt;92&lt;/item&gt;&lt;item&gt;93&lt;/item&gt;&lt;item&gt;94&lt;/item&gt;&lt;item&gt;95&lt;/item&gt;&lt;item&gt;96&lt;/item&gt;&lt;item&gt;97&lt;/item&gt;&lt;item&gt;98&lt;/item&gt;&lt;item&gt;99&lt;/item&gt;&lt;item&gt;100&lt;/item&gt;&lt;item&gt;101&lt;/item&gt;&lt;item&gt;102&lt;/item&gt;&lt;item&gt;104&lt;/item&gt;&lt;item&gt;105&lt;/item&gt;&lt;item&gt;106&lt;/item&gt;&lt;item&gt;107&lt;/item&gt;&lt;item&gt;109&lt;/item&gt;&lt;item&gt;110&lt;/item&gt;&lt;item&gt;111&lt;/item&gt;&lt;item&gt;112&lt;/item&gt;&lt;/record-ids&gt;&lt;/item&gt;&lt;/Libraries&gt;"/>
  </w:docVars>
  <w:rsids>
    <w:rsidRoot w:val="00564213"/>
    <w:rsid w:val="000059B1"/>
    <w:rsid w:val="0000777B"/>
    <w:rsid w:val="000264EA"/>
    <w:rsid w:val="000355FA"/>
    <w:rsid w:val="0005481E"/>
    <w:rsid w:val="00054847"/>
    <w:rsid w:val="0005690A"/>
    <w:rsid w:val="00075F28"/>
    <w:rsid w:val="00080063"/>
    <w:rsid w:val="000846AB"/>
    <w:rsid w:val="000931CD"/>
    <w:rsid w:val="00093C15"/>
    <w:rsid w:val="00095AEC"/>
    <w:rsid w:val="000A1B66"/>
    <w:rsid w:val="000A3AC3"/>
    <w:rsid w:val="000C032F"/>
    <w:rsid w:val="000C2719"/>
    <w:rsid w:val="000C3A9F"/>
    <w:rsid w:val="000C7D1A"/>
    <w:rsid w:val="000D2741"/>
    <w:rsid w:val="000D2E78"/>
    <w:rsid w:val="000E3C43"/>
    <w:rsid w:val="000E5A92"/>
    <w:rsid w:val="000F0169"/>
    <w:rsid w:val="00100796"/>
    <w:rsid w:val="001074CB"/>
    <w:rsid w:val="0011569C"/>
    <w:rsid w:val="0012522C"/>
    <w:rsid w:val="00152E59"/>
    <w:rsid w:val="0018030F"/>
    <w:rsid w:val="00182482"/>
    <w:rsid w:val="0018672E"/>
    <w:rsid w:val="00196FDA"/>
    <w:rsid w:val="00197D41"/>
    <w:rsid w:val="001A0A17"/>
    <w:rsid w:val="001A7418"/>
    <w:rsid w:val="001B1A52"/>
    <w:rsid w:val="001B564A"/>
    <w:rsid w:val="001C4FB2"/>
    <w:rsid w:val="001C5EB9"/>
    <w:rsid w:val="001C74BD"/>
    <w:rsid w:val="001D1CC4"/>
    <w:rsid w:val="001D6AA1"/>
    <w:rsid w:val="001D74C1"/>
    <w:rsid w:val="001E75D1"/>
    <w:rsid w:val="001E7E43"/>
    <w:rsid w:val="001F7CDF"/>
    <w:rsid w:val="00201D75"/>
    <w:rsid w:val="00203F92"/>
    <w:rsid w:val="0022625C"/>
    <w:rsid w:val="0023091E"/>
    <w:rsid w:val="0024078F"/>
    <w:rsid w:val="00241FC0"/>
    <w:rsid w:val="00245A02"/>
    <w:rsid w:val="0025772D"/>
    <w:rsid w:val="002825FF"/>
    <w:rsid w:val="002914C0"/>
    <w:rsid w:val="002C0504"/>
    <w:rsid w:val="002E11C4"/>
    <w:rsid w:val="002E32F6"/>
    <w:rsid w:val="0030269F"/>
    <w:rsid w:val="003118C8"/>
    <w:rsid w:val="0031428F"/>
    <w:rsid w:val="003207CA"/>
    <w:rsid w:val="003240E5"/>
    <w:rsid w:val="00341515"/>
    <w:rsid w:val="00364133"/>
    <w:rsid w:val="003646CA"/>
    <w:rsid w:val="003A4FB4"/>
    <w:rsid w:val="003B0A4D"/>
    <w:rsid w:val="003B0AF7"/>
    <w:rsid w:val="003B28E4"/>
    <w:rsid w:val="003B6989"/>
    <w:rsid w:val="003C20B3"/>
    <w:rsid w:val="003C3787"/>
    <w:rsid w:val="003D4322"/>
    <w:rsid w:val="003D5288"/>
    <w:rsid w:val="003D643A"/>
    <w:rsid w:val="003E62BD"/>
    <w:rsid w:val="00406E5D"/>
    <w:rsid w:val="00415FF9"/>
    <w:rsid w:val="00421E22"/>
    <w:rsid w:val="00430AD3"/>
    <w:rsid w:val="004466E5"/>
    <w:rsid w:val="00450DB9"/>
    <w:rsid w:val="004524F9"/>
    <w:rsid w:val="00455859"/>
    <w:rsid w:val="004566A9"/>
    <w:rsid w:val="004605B3"/>
    <w:rsid w:val="0046119C"/>
    <w:rsid w:val="00463568"/>
    <w:rsid w:val="00486437"/>
    <w:rsid w:val="004A69C3"/>
    <w:rsid w:val="004A77D0"/>
    <w:rsid w:val="004D0F1A"/>
    <w:rsid w:val="004E10C0"/>
    <w:rsid w:val="00541ACB"/>
    <w:rsid w:val="00541FDF"/>
    <w:rsid w:val="00542DBC"/>
    <w:rsid w:val="00552140"/>
    <w:rsid w:val="0055217B"/>
    <w:rsid w:val="005638ED"/>
    <w:rsid w:val="00564213"/>
    <w:rsid w:val="00565D53"/>
    <w:rsid w:val="00572906"/>
    <w:rsid w:val="00575A5C"/>
    <w:rsid w:val="00584ED1"/>
    <w:rsid w:val="005861F6"/>
    <w:rsid w:val="005A1379"/>
    <w:rsid w:val="005A4F32"/>
    <w:rsid w:val="005F3CF6"/>
    <w:rsid w:val="005F4B85"/>
    <w:rsid w:val="005F6226"/>
    <w:rsid w:val="006030E9"/>
    <w:rsid w:val="00627B10"/>
    <w:rsid w:val="006326D7"/>
    <w:rsid w:val="00642835"/>
    <w:rsid w:val="00647B0C"/>
    <w:rsid w:val="00650D53"/>
    <w:rsid w:val="006616B9"/>
    <w:rsid w:val="0066435D"/>
    <w:rsid w:val="00670F05"/>
    <w:rsid w:val="006749EE"/>
    <w:rsid w:val="00685096"/>
    <w:rsid w:val="00695FE4"/>
    <w:rsid w:val="006B18A7"/>
    <w:rsid w:val="006C1839"/>
    <w:rsid w:val="006D0C96"/>
    <w:rsid w:val="006F1B9D"/>
    <w:rsid w:val="006F2AB1"/>
    <w:rsid w:val="006F6C2C"/>
    <w:rsid w:val="006F764E"/>
    <w:rsid w:val="0070537F"/>
    <w:rsid w:val="0071795D"/>
    <w:rsid w:val="00731923"/>
    <w:rsid w:val="007331DA"/>
    <w:rsid w:val="00743932"/>
    <w:rsid w:val="00747893"/>
    <w:rsid w:val="00751A44"/>
    <w:rsid w:val="007571C9"/>
    <w:rsid w:val="00762981"/>
    <w:rsid w:val="00763E8E"/>
    <w:rsid w:val="00777991"/>
    <w:rsid w:val="00786F00"/>
    <w:rsid w:val="007918C3"/>
    <w:rsid w:val="007937F3"/>
    <w:rsid w:val="00796A7F"/>
    <w:rsid w:val="007C1441"/>
    <w:rsid w:val="007E06E1"/>
    <w:rsid w:val="007E0B6D"/>
    <w:rsid w:val="007E3C5A"/>
    <w:rsid w:val="007E56EE"/>
    <w:rsid w:val="007E5F3B"/>
    <w:rsid w:val="007F31E3"/>
    <w:rsid w:val="007F6064"/>
    <w:rsid w:val="00801082"/>
    <w:rsid w:val="00820F75"/>
    <w:rsid w:val="00855006"/>
    <w:rsid w:val="008651B1"/>
    <w:rsid w:val="008654D8"/>
    <w:rsid w:val="00871980"/>
    <w:rsid w:val="008873DE"/>
    <w:rsid w:val="00890C67"/>
    <w:rsid w:val="00892328"/>
    <w:rsid w:val="0089718A"/>
    <w:rsid w:val="008A1C1E"/>
    <w:rsid w:val="008B34FF"/>
    <w:rsid w:val="008B3CD3"/>
    <w:rsid w:val="008B719F"/>
    <w:rsid w:val="008E213F"/>
    <w:rsid w:val="008E3110"/>
    <w:rsid w:val="008F3EC7"/>
    <w:rsid w:val="009111C7"/>
    <w:rsid w:val="009150E4"/>
    <w:rsid w:val="00916BE4"/>
    <w:rsid w:val="0091791F"/>
    <w:rsid w:val="00923886"/>
    <w:rsid w:val="00923E56"/>
    <w:rsid w:val="00926145"/>
    <w:rsid w:val="00932F15"/>
    <w:rsid w:val="00937CE9"/>
    <w:rsid w:val="00943440"/>
    <w:rsid w:val="00950B42"/>
    <w:rsid w:val="009530A2"/>
    <w:rsid w:val="00956A96"/>
    <w:rsid w:val="00956DEA"/>
    <w:rsid w:val="00965629"/>
    <w:rsid w:val="009771D0"/>
    <w:rsid w:val="00977DBD"/>
    <w:rsid w:val="00987367"/>
    <w:rsid w:val="00992506"/>
    <w:rsid w:val="009A33EB"/>
    <w:rsid w:val="009A3FC7"/>
    <w:rsid w:val="009B2430"/>
    <w:rsid w:val="009B4EF0"/>
    <w:rsid w:val="009C0974"/>
    <w:rsid w:val="009C225A"/>
    <w:rsid w:val="009C33A2"/>
    <w:rsid w:val="009C5BA2"/>
    <w:rsid w:val="009D38E2"/>
    <w:rsid w:val="009F2C0A"/>
    <w:rsid w:val="009F2CC9"/>
    <w:rsid w:val="00A0250C"/>
    <w:rsid w:val="00A0268D"/>
    <w:rsid w:val="00A14FC2"/>
    <w:rsid w:val="00A16FF0"/>
    <w:rsid w:val="00A24FA4"/>
    <w:rsid w:val="00A2672B"/>
    <w:rsid w:val="00A429FD"/>
    <w:rsid w:val="00A4301D"/>
    <w:rsid w:val="00A4408C"/>
    <w:rsid w:val="00A566DF"/>
    <w:rsid w:val="00A7353A"/>
    <w:rsid w:val="00A8291D"/>
    <w:rsid w:val="00A83AF9"/>
    <w:rsid w:val="00A874C0"/>
    <w:rsid w:val="00AC74C3"/>
    <w:rsid w:val="00AC7D36"/>
    <w:rsid w:val="00AD1A6C"/>
    <w:rsid w:val="00AD32F7"/>
    <w:rsid w:val="00AE4157"/>
    <w:rsid w:val="00B03C89"/>
    <w:rsid w:val="00B25988"/>
    <w:rsid w:val="00B4015F"/>
    <w:rsid w:val="00B501DD"/>
    <w:rsid w:val="00B532EF"/>
    <w:rsid w:val="00B5719D"/>
    <w:rsid w:val="00B60AFB"/>
    <w:rsid w:val="00B75342"/>
    <w:rsid w:val="00B76AE6"/>
    <w:rsid w:val="00B865AF"/>
    <w:rsid w:val="00B94A58"/>
    <w:rsid w:val="00BA37D5"/>
    <w:rsid w:val="00BB5EE1"/>
    <w:rsid w:val="00BC61B0"/>
    <w:rsid w:val="00BD0523"/>
    <w:rsid w:val="00BD0800"/>
    <w:rsid w:val="00BE4EDC"/>
    <w:rsid w:val="00BE6EED"/>
    <w:rsid w:val="00BF132F"/>
    <w:rsid w:val="00BF3E42"/>
    <w:rsid w:val="00BF5908"/>
    <w:rsid w:val="00C04395"/>
    <w:rsid w:val="00C0783F"/>
    <w:rsid w:val="00C1589F"/>
    <w:rsid w:val="00C15F71"/>
    <w:rsid w:val="00C25DD1"/>
    <w:rsid w:val="00C26311"/>
    <w:rsid w:val="00C35812"/>
    <w:rsid w:val="00C46B2F"/>
    <w:rsid w:val="00C549B0"/>
    <w:rsid w:val="00C6243F"/>
    <w:rsid w:val="00C738CD"/>
    <w:rsid w:val="00C7647C"/>
    <w:rsid w:val="00C82F79"/>
    <w:rsid w:val="00C87339"/>
    <w:rsid w:val="00C91C7B"/>
    <w:rsid w:val="00C96ED1"/>
    <w:rsid w:val="00CA2BD7"/>
    <w:rsid w:val="00CB1B4B"/>
    <w:rsid w:val="00CB3A11"/>
    <w:rsid w:val="00CB4FEA"/>
    <w:rsid w:val="00CC2520"/>
    <w:rsid w:val="00CC51D0"/>
    <w:rsid w:val="00CE40FD"/>
    <w:rsid w:val="00CE72F4"/>
    <w:rsid w:val="00CF0564"/>
    <w:rsid w:val="00CF476A"/>
    <w:rsid w:val="00D0655C"/>
    <w:rsid w:val="00D1158F"/>
    <w:rsid w:val="00D171E7"/>
    <w:rsid w:val="00D25732"/>
    <w:rsid w:val="00D25870"/>
    <w:rsid w:val="00D40BC9"/>
    <w:rsid w:val="00D40CE0"/>
    <w:rsid w:val="00D57FC9"/>
    <w:rsid w:val="00D602D9"/>
    <w:rsid w:val="00D737F5"/>
    <w:rsid w:val="00DA5F4F"/>
    <w:rsid w:val="00DB4E53"/>
    <w:rsid w:val="00DC021E"/>
    <w:rsid w:val="00DC2C38"/>
    <w:rsid w:val="00DE50D0"/>
    <w:rsid w:val="00DF400A"/>
    <w:rsid w:val="00DF4CB3"/>
    <w:rsid w:val="00DF6EC8"/>
    <w:rsid w:val="00E00144"/>
    <w:rsid w:val="00E00339"/>
    <w:rsid w:val="00E142A8"/>
    <w:rsid w:val="00E22F3D"/>
    <w:rsid w:val="00E24377"/>
    <w:rsid w:val="00E405E3"/>
    <w:rsid w:val="00E64A99"/>
    <w:rsid w:val="00E706DB"/>
    <w:rsid w:val="00E76818"/>
    <w:rsid w:val="00E914AE"/>
    <w:rsid w:val="00E96BC4"/>
    <w:rsid w:val="00EA2F30"/>
    <w:rsid w:val="00EC434A"/>
    <w:rsid w:val="00EC5354"/>
    <w:rsid w:val="00ED531D"/>
    <w:rsid w:val="00ED6B96"/>
    <w:rsid w:val="00EE58C0"/>
    <w:rsid w:val="00EF2956"/>
    <w:rsid w:val="00EF34A9"/>
    <w:rsid w:val="00F100F9"/>
    <w:rsid w:val="00F35903"/>
    <w:rsid w:val="00F370FE"/>
    <w:rsid w:val="00F40C75"/>
    <w:rsid w:val="00F43291"/>
    <w:rsid w:val="00F5258E"/>
    <w:rsid w:val="00F6307C"/>
    <w:rsid w:val="00F6715F"/>
    <w:rsid w:val="00F75D75"/>
    <w:rsid w:val="00F85104"/>
    <w:rsid w:val="00F87DFE"/>
    <w:rsid w:val="00F93CCB"/>
    <w:rsid w:val="00F97631"/>
    <w:rsid w:val="00FA2747"/>
    <w:rsid w:val="00FB2C99"/>
    <w:rsid w:val="00FB6DF2"/>
    <w:rsid w:val="00FD658C"/>
    <w:rsid w:val="00FE61E2"/>
    <w:rsid w:val="00FF2AC8"/>
    <w:rsid w:val="00FF308B"/>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DF77D0"/>
  <w15:docId w15:val="{84A5AC83-A320-4D2B-AB07-A9431AE2DF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SimSun"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40CE0"/>
    <w:pPr>
      <w:spacing w:line="360" w:lineRule="auto"/>
      <w:jc w:val="both"/>
    </w:pPr>
    <w:rPr>
      <w:rFonts w:ascii="Times New Roman" w:eastAsia="Times New Roman" w:hAnsi="Times New Roman"/>
      <w:szCs w:val="24"/>
      <w:lang w:eastAsia="de-DE"/>
    </w:rPr>
  </w:style>
  <w:style w:type="paragraph" w:styleId="Heading1">
    <w:name w:val="heading 1"/>
    <w:basedOn w:val="Normal"/>
    <w:next w:val="Normal"/>
    <w:link w:val="Heading1Char"/>
    <w:qFormat/>
    <w:rsid w:val="00075F28"/>
    <w:pPr>
      <w:keepNext/>
      <w:spacing w:before="480" w:after="240" w:line="240" w:lineRule="auto"/>
      <w:outlineLvl w:val="0"/>
    </w:pPr>
    <w:rPr>
      <w:rFonts w:cs="Arial"/>
      <w:b/>
      <w:bCs/>
      <w:color w:val="000000"/>
      <w:kern w:val="32"/>
      <w:szCs w:val="32"/>
    </w:rPr>
  </w:style>
  <w:style w:type="paragraph" w:styleId="Heading2">
    <w:name w:val="heading 2"/>
    <w:basedOn w:val="Normal"/>
    <w:next w:val="Normal"/>
    <w:link w:val="Heading2Char"/>
    <w:qFormat/>
    <w:rsid w:val="00E00339"/>
    <w:pPr>
      <w:keepNext/>
      <w:spacing w:before="240" w:after="240" w:line="240" w:lineRule="auto"/>
      <w:outlineLvl w:val="1"/>
    </w:pPr>
    <w:rPr>
      <w:rFonts w:cs="Arial"/>
      <w:b/>
      <w:bCs/>
      <w:iCs/>
      <w:szCs w:val="28"/>
    </w:rPr>
  </w:style>
  <w:style w:type="paragraph" w:styleId="Heading3">
    <w:name w:val="heading 3"/>
    <w:basedOn w:val="Normal"/>
    <w:next w:val="Normal"/>
    <w:link w:val="Heading3Char"/>
    <w:qFormat/>
    <w:rsid w:val="005A4F32"/>
    <w:pPr>
      <w:keepNext/>
      <w:spacing w:before="240" w:after="240" w:line="240" w:lineRule="auto"/>
      <w:outlineLvl w:val="2"/>
    </w:pPr>
    <w:rPr>
      <w:rFonts w:cs="Arial"/>
      <w:b/>
      <w:bCs/>
      <w:szCs w:val="26"/>
    </w:rPr>
  </w:style>
  <w:style w:type="paragraph" w:styleId="Heading4">
    <w:name w:val="heading 4"/>
    <w:basedOn w:val="Normal"/>
    <w:next w:val="Normal"/>
    <w:link w:val="Heading4Char"/>
    <w:rsid w:val="00ED6B96"/>
    <w:pPr>
      <w:keepNext/>
      <w:outlineLvl w:val="3"/>
    </w:pPr>
    <w:rPr>
      <w:b/>
      <w:bCs/>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etreff">
    <w:name w:val="Betreff"/>
    <w:basedOn w:val="Normal"/>
    <w:next w:val="Normal"/>
    <w:rsid w:val="00ED6B96"/>
    <w:rPr>
      <w:b/>
    </w:rPr>
  </w:style>
  <w:style w:type="paragraph" w:customStyle="1" w:styleId="Bullets">
    <w:name w:val="Bullets"/>
    <w:basedOn w:val="Normal"/>
    <w:link w:val="BulletsChar"/>
    <w:rsid w:val="00ED6B96"/>
    <w:pPr>
      <w:numPr>
        <w:numId w:val="2"/>
      </w:numPr>
    </w:pPr>
  </w:style>
  <w:style w:type="character" w:customStyle="1" w:styleId="BulletsChar">
    <w:name w:val="Bullets Char"/>
    <w:link w:val="Bullets"/>
    <w:rsid w:val="00ED6B96"/>
    <w:rPr>
      <w:rFonts w:ascii="Verdana" w:eastAsia="Times New Roman" w:hAnsi="Verdana" w:cs="Times New Roman"/>
      <w:sz w:val="19"/>
      <w:szCs w:val="24"/>
      <w:lang w:eastAsia="de-DE"/>
    </w:rPr>
  </w:style>
  <w:style w:type="table" w:customStyle="1" w:styleId="Copernicus">
    <w:name w:val="Copernicus"/>
    <w:basedOn w:val="TableNormal"/>
    <w:rsid w:val="00ED6B96"/>
    <w:rPr>
      <w:rFonts w:ascii="Verdana" w:eastAsia="Times New Roman" w:hAnsi="Verdana"/>
      <w:sz w:val="19"/>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cPr>
      <w:shd w:val="clear" w:color="auto" w:fill="auto"/>
      <w:vAlign w:val="center"/>
    </w:tcPr>
    <w:tblStylePr w:type="firstRow">
      <w:pPr>
        <w:jc w:val="left"/>
      </w:pPr>
      <w:rPr>
        <w:rFonts w:ascii="Verdana" w:hAnsi="Verdana"/>
        <w:b/>
        <w:i w:val="0"/>
        <w:sz w:val="19"/>
      </w:rPr>
      <w:tblPr/>
      <w:tcPr>
        <w:shd w:val="clear" w:color="auto" w:fill="BFBFBF"/>
      </w:tcPr>
    </w:tblStylePr>
    <w:tblStylePr w:type="lastRow">
      <w:pPr>
        <w:jc w:val="left"/>
      </w:pPr>
      <w:rPr>
        <w:rFonts w:ascii="Verdana" w:hAnsi="Verdana"/>
        <w:sz w:val="19"/>
      </w:rPr>
    </w:tblStylePr>
    <w:tblStylePr w:type="firstCol">
      <w:rPr>
        <w:rFonts w:ascii="Verdana" w:hAnsi="Verdana"/>
        <w:sz w:val="19"/>
      </w:rPr>
    </w:tblStylePr>
    <w:tblStylePr w:type="lastCol">
      <w:rPr>
        <w:rFonts w:ascii="Verdana" w:hAnsi="Verdana"/>
        <w:sz w:val="19"/>
      </w:rPr>
      <w:tblPr/>
      <w:tcPr>
        <w:tcBorders>
          <w:top w:val="single" w:sz="4" w:space="0" w:color="7F7F7F"/>
          <w:left w:val="single" w:sz="4" w:space="0" w:color="7F7F7F"/>
          <w:bottom w:val="single" w:sz="4" w:space="0" w:color="7F7F7F"/>
          <w:right w:val="single" w:sz="4" w:space="0" w:color="7F7F7F"/>
          <w:insideH w:val="single" w:sz="4" w:space="0" w:color="7F7F7F"/>
          <w:insideV w:val="single" w:sz="4" w:space="0" w:color="7F7F7F"/>
        </w:tcBorders>
      </w:tcPr>
    </w:tblStylePr>
  </w:style>
  <w:style w:type="paragraph" w:styleId="Header">
    <w:name w:val="header"/>
    <w:basedOn w:val="Normal"/>
    <w:link w:val="HeaderChar"/>
    <w:rsid w:val="00ED6B96"/>
    <w:pPr>
      <w:tabs>
        <w:tab w:val="center" w:pos="4536"/>
        <w:tab w:val="right" w:pos="9072"/>
      </w:tabs>
    </w:pPr>
  </w:style>
  <w:style w:type="character" w:customStyle="1" w:styleId="Heading1Char">
    <w:name w:val="Heading 1 Char"/>
    <w:link w:val="Heading1"/>
    <w:rsid w:val="00075F28"/>
    <w:rPr>
      <w:rFonts w:ascii="Times New Roman" w:eastAsia="Times New Roman" w:hAnsi="Times New Roman" w:cs="Arial"/>
      <w:b/>
      <w:bCs/>
      <w:color w:val="000000"/>
      <w:kern w:val="32"/>
      <w:szCs w:val="32"/>
      <w:lang w:eastAsia="de-DE"/>
    </w:rPr>
  </w:style>
  <w:style w:type="character" w:customStyle="1" w:styleId="Heading3Char">
    <w:name w:val="Heading 3 Char"/>
    <w:link w:val="Heading3"/>
    <w:rsid w:val="005A4F32"/>
    <w:rPr>
      <w:rFonts w:ascii="Times New Roman" w:eastAsia="Times New Roman" w:hAnsi="Times New Roman" w:cs="Arial"/>
      <w:b/>
      <w:bCs/>
      <w:szCs w:val="26"/>
      <w:lang w:eastAsia="de-DE"/>
    </w:rPr>
  </w:style>
  <w:style w:type="character" w:customStyle="1" w:styleId="Heading4Char">
    <w:name w:val="Heading 4 Char"/>
    <w:link w:val="Heading4"/>
    <w:rsid w:val="00796A7F"/>
    <w:rPr>
      <w:rFonts w:ascii="Verdana" w:eastAsia="Times New Roman" w:hAnsi="Verdana" w:cs="Times New Roman"/>
      <w:b/>
      <w:bCs/>
      <w:sz w:val="19"/>
      <w:szCs w:val="28"/>
      <w:lang w:eastAsia="de-DE"/>
    </w:rPr>
  </w:style>
  <w:style w:type="character" w:customStyle="1" w:styleId="HeaderChar">
    <w:name w:val="Header Char"/>
    <w:link w:val="Header"/>
    <w:rsid w:val="00ED6B96"/>
    <w:rPr>
      <w:rFonts w:ascii="Verdana" w:eastAsia="Times New Roman" w:hAnsi="Verdana" w:cs="Times New Roman"/>
      <w:sz w:val="19"/>
      <w:szCs w:val="24"/>
      <w:lang w:eastAsia="de-DE"/>
    </w:rPr>
  </w:style>
  <w:style w:type="character" w:customStyle="1" w:styleId="Heading2Char">
    <w:name w:val="Heading 2 Char"/>
    <w:link w:val="Heading2"/>
    <w:rsid w:val="00E00339"/>
    <w:rPr>
      <w:rFonts w:ascii="Times New Roman" w:eastAsia="Times New Roman" w:hAnsi="Times New Roman" w:cs="Arial"/>
      <w:b/>
      <w:bCs/>
      <w:iCs/>
      <w:szCs w:val="28"/>
      <w:lang w:eastAsia="de-DE"/>
    </w:rPr>
  </w:style>
  <w:style w:type="character" w:styleId="Hyperlink">
    <w:name w:val="Hyperlink"/>
    <w:rsid w:val="00ED6B96"/>
    <w:rPr>
      <w:color w:val="0000FF"/>
      <w:u w:val="single"/>
    </w:rPr>
  </w:style>
  <w:style w:type="paragraph" w:customStyle="1" w:styleId="Kontakt">
    <w:name w:val="Kontakt"/>
    <w:basedOn w:val="Normal"/>
    <w:rsid w:val="00ED6B96"/>
    <w:pPr>
      <w:spacing w:line="160" w:lineRule="exact"/>
    </w:pPr>
    <w:rPr>
      <w:color w:val="808080"/>
      <w:sz w:val="13"/>
    </w:rPr>
  </w:style>
  <w:style w:type="paragraph" w:customStyle="1" w:styleId="Name">
    <w:name w:val="Name"/>
    <w:basedOn w:val="Normal"/>
    <w:rsid w:val="00ED6B96"/>
    <w:pPr>
      <w:spacing w:before="160" w:after="80"/>
    </w:pPr>
    <w:rPr>
      <w:rFonts w:ascii="Book Antiqua" w:hAnsi="Book Antiqua"/>
      <w:color w:val="808080"/>
      <w:sz w:val="22"/>
    </w:rPr>
  </w:style>
  <w:style w:type="paragraph" w:customStyle="1" w:styleId="CopernicusWordtemplate">
    <w:name w:val="Copernicus_Word_template"/>
    <w:basedOn w:val="Normal"/>
    <w:link w:val="CopernicusWordtemplateChar"/>
    <w:rsid w:val="00B5719D"/>
  </w:style>
  <w:style w:type="character" w:customStyle="1" w:styleId="CopernicusWordtemplateChar">
    <w:name w:val="Copernicus_Word_template Char"/>
    <w:basedOn w:val="DefaultParagraphFont"/>
    <w:link w:val="CopernicusWordtemplate"/>
    <w:rsid w:val="00B5719D"/>
    <w:rPr>
      <w:rFonts w:ascii="Times New Roman" w:eastAsia="Times New Roman" w:hAnsi="Times New Roman"/>
      <w:sz w:val="24"/>
      <w:szCs w:val="24"/>
      <w:lang w:eastAsia="de-DE"/>
    </w:rPr>
  </w:style>
  <w:style w:type="character" w:styleId="LineNumber">
    <w:name w:val="line number"/>
    <w:basedOn w:val="DefaultParagraphFont"/>
    <w:uiPriority w:val="99"/>
    <w:semiHidden/>
    <w:unhideWhenUsed/>
    <w:rsid w:val="00D40CE0"/>
  </w:style>
  <w:style w:type="paragraph" w:customStyle="1" w:styleId="MStitle">
    <w:name w:val="MS title"/>
    <w:basedOn w:val="Normal"/>
    <w:link w:val="MStitleChar"/>
    <w:qFormat/>
    <w:rsid w:val="0091791F"/>
    <w:pPr>
      <w:spacing w:before="360" w:line="440" w:lineRule="exact"/>
      <w:contextualSpacing/>
    </w:pPr>
    <w:rPr>
      <w:b/>
      <w:sz w:val="34"/>
    </w:rPr>
  </w:style>
  <w:style w:type="paragraph" w:styleId="ListParagraph">
    <w:name w:val="List Paragraph"/>
    <w:basedOn w:val="Normal"/>
    <w:link w:val="ListParagraphChar"/>
    <w:uiPriority w:val="34"/>
    <w:qFormat/>
    <w:rsid w:val="00B4015F"/>
    <w:pPr>
      <w:ind w:left="720"/>
      <w:contextualSpacing/>
    </w:pPr>
  </w:style>
  <w:style w:type="character" w:customStyle="1" w:styleId="MStitleChar">
    <w:name w:val="MS title Char"/>
    <w:basedOn w:val="DefaultParagraphFont"/>
    <w:link w:val="MStitle"/>
    <w:rsid w:val="0091791F"/>
    <w:rPr>
      <w:rFonts w:ascii="Times New Roman" w:eastAsia="Times New Roman" w:hAnsi="Times New Roman"/>
      <w:b/>
      <w:sz w:val="34"/>
      <w:szCs w:val="24"/>
      <w:lang w:eastAsia="de-DE"/>
    </w:rPr>
  </w:style>
  <w:style w:type="paragraph" w:customStyle="1" w:styleId="Affiliation">
    <w:name w:val="Affiliation"/>
    <w:basedOn w:val="Normal"/>
    <w:link w:val="AffiliationChar"/>
    <w:qFormat/>
    <w:rsid w:val="00450DB9"/>
    <w:pPr>
      <w:spacing w:before="120" w:line="240" w:lineRule="auto"/>
      <w:contextualSpacing/>
    </w:pPr>
  </w:style>
  <w:style w:type="character" w:styleId="PlaceholderText">
    <w:name w:val="Placeholder Text"/>
    <w:basedOn w:val="DefaultParagraphFont"/>
    <w:uiPriority w:val="99"/>
    <w:semiHidden/>
    <w:rsid w:val="003D5288"/>
    <w:rPr>
      <w:color w:val="808080"/>
    </w:rPr>
  </w:style>
  <w:style w:type="character" w:customStyle="1" w:styleId="AffiliationChar">
    <w:name w:val="Affiliation Char"/>
    <w:basedOn w:val="DefaultParagraphFont"/>
    <w:link w:val="Affiliation"/>
    <w:rsid w:val="00450DB9"/>
    <w:rPr>
      <w:rFonts w:ascii="Times New Roman" w:eastAsia="Times New Roman" w:hAnsi="Times New Roman"/>
      <w:szCs w:val="24"/>
      <w:lang w:eastAsia="de-DE"/>
    </w:rPr>
  </w:style>
  <w:style w:type="paragraph" w:styleId="BalloonText">
    <w:name w:val="Balloon Text"/>
    <w:basedOn w:val="Normal"/>
    <w:link w:val="BalloonTextChar"/>
    <w:uiPriority w:val="99"/>
    <w:semiHidden/>
    <w:unhideWhenUsed/>
    <w:rsid w:val="003D5288"/>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5288"/>
    <w:rPr>
      <w:rFonts w:ascii="Tahoma" w:eastAsia="Times New Roman" w:hAnsi="Tahoma" w:cs="Tahoma"/>
      <w:sz w:val="16"/>
      <w:szCs w:val="16"/>
      <w:lang w:eastAsia="de-DE"/>
    </w:rPr>
  </w:style>
  <w:style w:type="paragraph" w:customStyle="1" w:styleId="Equation">
    <w:name w:val="Equation"/>
    <w:basedOn w:val="Normal"/>
    <w:link w:val="EquationChar"/>
    <w:rsid w:val="00C35812"/>
    <w:pPr>
      <w:spacing w:before="120" w:after="120"/>
    </w:pPr>
    <w:rPr>
      <w:rFonts w:ascii="Cambria Math" w:hAnsi="Cambria Math"/>
    </w:rPr>
  </w:style>
  <w:style w:type="paragraph" w:styleId="Caption">
    <w:name w:val="caption"/>
    <w:basedOn w:val="Normal"/>
    <w:next w:val="Normal"/>
    <w:uiPriority w:val="35"/>
    <w:unhideWhenUsed/>
    <w:qFormat/>
    <w:rsid w:val="003A4FB4"/>
    <w:pPr>
      <w:spacing w:after="200" w:line="240" w:lineRule="auto"/>
    </w:pPr>
    <w:rPr>
      <w:b/>
      <w:bCs/>
      <w:sz w:val="18"/>
      <w:szCs w:val="18"/>
    </w:rPr>
  </w:style>
  <w:style w:type="character" w:customStyle="1" w:styleId="EquationChar">
    <w:name w:val="Equation Char"/>
    <w:basedOn w:val="DefaultParagraphFont"/>
    <w:link w:val="Equation"/>
    <w:rsid w:val="00C35812"/>
    <w:rPr>
      <w:rFonts w:ascii="Cambria Math" w:eastAsia="Times New Roman" w:hAnsi="Cambria Math"/>
      <w:szCs w:val="24"/>
      <w:lang w:eastAsia="de-DE"/>
    </w:rPr>
  </w:style>
  <w:style w:type="paragraph" w:styleId="Footer">
    <w:name w:val="footer"/>
    <w:basedOn w:val="Normal"/>
    <w:link w:val="FooterChar"/>
    <w:uiPriority w:val="99"/>
    <w:unhideWhenUsed/>
    <w:rsid w:val="006D0C96"/>
    <w:pPr>
      <w:tabs>
        <w:tab w:val="center" w:pos="4513"/>
        <w:tab w:val="right" w:pos="9026"/>
      </w:tabs>
      <w:spacing w:line="240" w:lineRule="auto"/>
    </w:pPr>
  </w:style>
  <w:style w:type="character" w:customStyle="1" w:styleId="FooterChar">
    <w:name w:val="Footer Char"/>
    <w:basedOn w:val="DefaultParagraphFont"/>
    <w:link w:val="Footer"/>
    <w:uiPriority w:val="99"/>
    <w:rsid w:val="006D0C96"/>
    <w:rPr>
      <w:rFonts w:ascii="Times New Roman" w:eastAsia="Times New Roman" w:hAnsi="Times New Roman"/>
      <w:szCs w:val="24"/>
      <w:lang w:eastAsia="de-DE"/>
    </w:rPr>
  </w:style>
  <w:style w:type="paragraph" w:customStyle="1" w:styleId="Correspondence">
    <w:name w:val="Correspondence"/>
    <w:basedOn w:val="Normal"/>
    <w:link w:val="CorrespondenceChar"/>
    <w:qFormat/>
    <w:rsid w:val="008E213F"/>
    <w:pPr>
      <w:spacing w:before="120" w:after="360" w:line="240" w:lineRule="auto"/>
    </w:pPr>
  </w:style>
  <w:style w:type="character" w:customStyle="1" w:styleId="CorrespondenceChar">
    <w:name w:val="Correspondence Char"/>
    <w:basedOn w:val="DefaultParagraphFont"/>
    <w:link w:val="Correspondence"/>
    <w:rsid w:val="008E213F"/>
    <w:rPr>
      <w:rFonts w:ascii="Times New Roman" w:eastAsia="Times New Roman" w:hAnsi="Times New Roman"/>
      <w:szCs w:val="24"/>
      <w:lang w:eastAsia="de-DE"/>
    </w:rPr>
  </w:style>
  <w:style w:type="paragraph" w:customStyle="1" w:styleId="Authors">
    <w:name w:val="Authors"/>
    <w:basedOn w:val="Normal"/>
    <w:link w:val="AuthorsChar"/>
    <w:qFormat/>
    <w:rsid w:val="00BD0523"/>
    <w:pPr>
      <w:spacing w:before="180" w:line="240" w:lineRule="auto"/>
      <w:contextualSpacing/>
    </w:pPr>
    <w:rPr>
      <w:sz w:val="24"/>
    </w:rPr>
  </w:style>
  <w:style w:type="character" w:customStyle="1" w:styleId="AuthorsChar">
    <w:name w:val="Authors Char"/>
    <w:basedOn w:val="DefaultParagraphFont"/>
    <w:link w:val="Authors"/>
    <w:rsid w:val="00BD0523"/>
    <w:rPr>
      <w:rFonts w:ascii="Times New Roman" w:eastAsia="Times New Roman" w:hAnsi="Times New Roman"/>
      <w:sz w:val="24"/>
      <w:szCs w:val="24"/>
      <w:lang w:eastAsia="de-DE"/>
    </w:rPr>
  </w:style>
  <w:style w:type="paragraph" w:customStyle="1" w:styleId="EndNoteBibliographyTitle">
    <w:name w:val="EndNote Bibliography Title"/>
    <w:basedOn w:val="Normal"/>
    <w:link w:val="EndNoteBibliographyTitleChar"/>
    <w:rsid w:val="000E5A92"/>
    <w:pPr>
      <w:jc w:val="center"/>
    </w:pPr>
    <w:rPr>
      <w:noProof/>
      <w:lang w:val="de-DE"/>
    </w:rPr>
  </w:style>
  <w:style w:type="character" w:customStyle="1" w:styleId="EndNoteBibliographyTitleChar">
    <w:name w:val="EndNote Bibliography Title Char"/>
    <w:basedOn w:val="Heading1Char"/>
    <w:link w:val="EndNoteBibliographyTitle"/>
    <w:rsid w:val="000E5A92"/>
    <w:rPr>
      <w:rFonts w:ascii="Times New Roman" w:eastAsia="Times New Roman" w:hAnsi="Times New Roman" w:cs="Arial"/>
      <w:b w:val="0"/>
      <w:bCs w:val="0"/>
      <w:noProof/>
      <w:color w:val="000000"/>
      <w:kern w:val="32"/>
      <w:szCs w:val="24"/>
      <w:lang w:val="de-DE" w:eastAsia="de-DE"/>
    </w:rPr>
  </w:style>
  <w:style w:type="paragraph" w:customStyle="1" w:styleId="EndNoteBibliography">
    <w:name w:val="EndNote Bibliography"/>
    <w:basedOn w:val="Normal"/>
    <w:link w:val="EndNoteBibliographyChar"/>
    <w:rsid w:val="000E5A92"/>
    <w:rPr>
      <w:noProof/>
      <w:lang w:val="de-DE"/>
    </w:rPr>
  </w:style>
  <w:style w:type="character" w:customStyle="1" w:styleId="EndNoteBibliographyChar">
    <w:name w:val="EndNote Bibliography Char"/>
    <w:basedOn w:val="Heading1Char"/>
    <w:link w:val="EndNoteBibliography"/>
    <w:rsid w:val="000E5A92"/>
    <w:rPr>
      <w:rFonts w:ascii="Times New Roman" w:eastAsia="Times New Roman" w:hAnsi="Times New Roman" w:cs="Arial"/>
      <w:b w:val="0"/>
      <w:bCs w:val="0"/>
      <w:noProof/>
      <w:color w:val="000000"/>
      <w:kern w:val="32"/>
      <w:szCs w:val="24"/>
      <w:lang w:val="de-DE" w:eastAsia="de-DE"/>
    </w:rPr>
  </w:style>
  <w:style w:type="character" w:customStyle="1" w:styleId="ListParagraphChar">
    <w:name w:val="List Paragraph Char"/>
    <w:basedOn w:val="DefaultParagraphFont"/>
    <w:link w:val="ListParagraph"/>
    <w:uiPriority w:val="34"/>
    <w:rsid w:val="000E5A92"/>
    <w:rPr>
      <w:rFonts w:ascii="Times New Roman" w:eastAsia="Times New Roman" w:hAnsi="Times New Roman"/>
      <w:szCs w:val="24"/>
      <w:lang w:eastAsia="de-DE"/>
    </w:rPr>
  </w:style>
  <w:style w:type="paragraph" w:customStyle="1" w:styleId="Figure">
    <w:name w:val="Figure"/>
    <w:basedOn w:val="ListParagraph"/>
    <w:link w:val="FigureChar"/>
    <w:qFormat/>
    <w:rsid w:val="009771D0"/>
    <w:pPr>
      <w:keepNext/>
      <w:spacing w:after="120" w:line="276" w:lineRule="auto"/>
      <w:ind w:left="0"/>
      <w:jc w:val="left"/>
    </w:pPr>
    <w:rPr>
      <w:rFonts w:asciiTheme="minorHAnsi" w:eastAsiaTheme="minorHAnsi" w:hAnsiTheme="minorHAnsi" w:cstheme="minorBidi"/>
      <w:noProof/>
      <w:sz w:val="22"/>
      <w:szCs w:val="22"/>
      <w:lang w:val="de-CH" w:eastAsia="de-CH"/>
    </w:rPr>
  </w:style>
  <w:style w:type="character" w:customStyle="1" w:styleId="FigureChar">
    <w:name w:val="Figure Char"/>
    <w:basedOn w:val="ListParagraphChar"/>
    <w:link w:val="Figure"/>
    <w:rsid w:val="009771D0"/>
    <w:rPr>
      <w:rFonts w:asciiTheme="minorHAnsi" w:eastAsiaTheme="minorHAnsi" w:hAnsiTheme="minorHAnsi" w:cstheme="minorBidi"/>
      <w:noProof/>
      <w:sz w:val="22"/>
      <w:szCs w:val="22"/>
      <w:lang w:val="de-CH" w:eastAsia="de-CH"/>
    </w:rPr>
  </w:style>
  <w:style w:type="table" w:styleId="TableGrid">
    <w:name w:val="Table Grid"/>
    <w:basedOn w:val="TableNormal"/>
    <w:uiPriority w:val="39"/>
    <w:rsid w:val="00747893"/>
    <w:rPr>
      <w:rFonts w:asciiTheme="minorHAnsi" w:eastAsiaTheme="minorHAnsi" w:hAnsiTheme="minorHAnsi" w:cstheme="minorBidi"/>
      <w:sz w:val="22"/>
      <w:szCs w:val="22"/>
      <w:lang w:val="de-CH"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SI">
    <w:name w:val="Normal_SI"/>
    <w:basedOn w:val="Normal"/>
    <w:link w:val="NormalSIChar"/>
    <w:qFormat/>
    <w:rsid w:val="00EF2956"/>
    <w:pPr>
      <w:spacing w:line="264" w:lineRule="auto"/>
      <w:ind w:firstLine="454"/>
      <w:jc w:val="left"/>
    </w:pPr>
    <w:rPr>
      <w:rFonts w:asciiTheme="minorHAnsi" w:eastAsiaTheme="minorHAnsi" w:hAnsiTheme="minorHAnsi" w:cstheme="minorBidi"/>
      <w:sz w:val="22"/>
      <w:szCs w:val="22"/>
      <w:lang w:val="en-US" w:eastAsia="en-US"/>
    </w:rPr>
  </w:style>
  <w:style w:type="character" w:customStyle="1" w:styleId="NormalSIChar">
    <w:name w:val="Normal_SI Char"/>
    <w:basedOn w:val="DefaultParagraphFont"/>
    <w:link w:val="NormalSI"/>
    <w:rsid w:val="00EF2956"/>
    <w:rPr>
      <w:rFonts w:asciiTheme="minorHAnsi" w:eastAsiaTheme="minorHAnsi" w:hAnsiTheme="minorHAnsi" w:cstheme="minorBidi"/>
      <w:sz w:val="22"/>
      <w:szCs w:val="22"/>
      <w:lang w:val="en-US" w:eastAsia="en-US"/>
    </w:rPr>
  </w:style>
  <w:style w:type="character" w:styleId="CommentReference">
    <w:name w:val="annotation reference"/>
    <w:basedOn w:val="DefaultParagraphFont"/>
    <w:uiPriority w:val="99"/>
    <w:semiHidden/>
    <w:unhideWhenUsed/>
    <w:rsid w:val="00B501DD"/>
    <w:rPr>
      <w:sz w:val="16"/>
      <w:szCs w:val="16"/>
    </w:rPr>
  </w:style>
  <w:style w:type="paragraph" w:styleId="CommentText">
    <w:name w:val="annotation text"/>
    <w:basedOn w:val="Normal"/>
    <w:link w:val="CommentTextChar"/>
    <w:uiPriority w:val="99"/>
    <w:semiHidden/>
    <w:unhideWhenUsed/>
    <w:rsid w:val="00B501DD"/>
    <w:pPr>
      <w:spacing w:line="240" w:lineRule="auto"/>
    </w:pPr>
    <w:rPr>
      <w:szCs w:val="20"/>
    </w:rPr>
  </w:style>
  <w:style w:type="character" w:customStyle="1" w:styleId="CommentTextChar">
    <w:name w:val="Comment Text Char"/>
    <w:basedOn w:val="DefaultParagraphFont"/>
    <w:link w:val="CommentText"/>
    <w:uiPriority w:val="99"/>
    <w:semiHidden/>
    <w:rsid w:val="00B501DD"/>
    <w:rPr>
      <w:rFonts w:ascii="Times New Roman" w:eastAsia="Times New Roman" w:hAnsi="Times New Roman"/>
      <w:lang w:eastAsia="de-DE"/>
    </w:rPr>
  </w:style>
  <w:style w:type="paragraph" w:styleId="CommentSubject">
    <w:name w:val="annotation subject"/>
    <w:basedOn w:val="CommentText"/>
    <w:next w:val="CommentText"/>
    <w:link w:val="CommentSubjectChar"/>
    <w:uiPriority w:val="99"/>
    <w:semiHidden/>
    <w:unhideWhenUsed/>
    <w:rsid w:val="00B501DD"/>
    <w:rPr>
      <w:b/>
      <w:bCs/>
    </w:rPr>
  </w:style>
  <w:style w:type="character" w:customStyle="1" w:styleId="CommentSubjectChar">
    <w:name w:val="Comment Subject Char"/>
    <w:basedOn w:val="CommentTextChar"/>
    <w:link w:val="CommentSubject"/>
    <w:uiPriority w:val="99"/>
    <w:semiHidden/>
    <w:rsid w:val="00B501DD"/>
    <w:rPr>
      <w:rFonts w:ascii="Times New Roman" w:eastAsia="Times New Roman" w:hAnsi="Times New Roman"/>
      <w:b/>
      <w:bCs/>
      <w:lang w:eastAsia="de-DE"/>
    </w:rPr>
  </w:style>
  <w:style w:type="paragraph" w:styleId="Revision">
    <w:name w:val="Revision"/>
    <w:hidden/>
    <w:uiPriority w:val="99"/>
    <w:semiHidden/>
    <w:rsid w:val="00FB2C99"/>
    <w:rPr>
      <w:rFonts w:ascii="Times New Roman" w:eastAsia="Times New Roman" w:hAnsi="Times New Roman"/>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14147425">
      <w:bodyDiv w:val="1"/>
      <w:marLeft w:val="0"/>
      <w:marRight w:val="0"/>
      <w:marTop w:val="0"/>
      <w:marBottom w:val="0"/>
      <w:divBdr>
        <w:top w:val="none" w:sz="0" w:space="0" w:color="auto"/>
        <w:left w:val="none" w:sz="0" w:space="0" w:color="auto"/>
        <w:bottom w:val="none" w:sz="0" w:space="0" w:color="auto"/>
        <w:right w:val="none" w:sz="0" w:space="0" w:color="auto"/>
      </w:divBdr>
    </w:div>
    <w:div w:id="1262449669">
      <w:bodyDiv w:val="1"/>
      <w:marLeft w:val="0"/>
      <w:marRight w:val="0"/>
      <w:marTop w:val="0"/>
      <w:marBottom w:val="0"/>
      <w:divBdr>
        <w:top w:val="none" w:sz="0" w:space="0" w:color="auto"/>
        <w:left w:val="none" w:sz="0" w:space="0" w:color="auto"/>
        <w:bottom w:val="none" w:sz="0" w:space="0" w:color="auto"/>
        <w:right w:val="none" w:sz="0" w:space="0" w:color="auto"/>
      </w:divBdr>
    </w:div>
    <w:div w:id="14199104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julia.knapp@usys.ethz.ch" TargetMode="External"/><Relationship Id="rId13" Type="http://schemas.openxmlformats.org/officeDocument/2006/relationships/image" Target="media/image4.emf"/><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hyperlink" Target="https://doi.org/10.5194/hess-23-303-2019" TargetMode="External"/><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wmf"/><Relationship Id="rId5" Type="http://schemas.openxmlformats.org/officeDocument/2006/relationships/webSettings" Target="webSettings.xml"/><Relationship Id="rId15" Type="http://schemas.openxmlformats.org/officeDocument/2006/relationships/image" Target="media/image6.emf"/><Relationship Id="rId10" Type="http://schemas.openxmlformats.org/officeDocument/2006/relationships/image" Target="media/image1.wmf"/><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www.envidat.ch/en/dataset/water-isotopes-plynlimon" TargetMode="External"/><Relationship Id="rId14" Type="http://schemas.openxmlformats.org/officeDocument/2006/relationships/image" Target="media/image5.emf"/></Relationships>
</file>

<file path=word/_rels/settings.xml.rels><?xml version="1.0" encoding="UTF-8" standalone="yes"?>
<Relationships xmlns="http://schemas.openxmlformats.org/package/2006/relationships"><Relationship Id="rId1" Type="http://schemas.openxmlformats.org/officeDocument/2006/relationships/attachedTemplate" Target="file:///C:\CopernicusTemplates\Free-Forms\Blank.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opernicus_Word_template">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D79E375-FD48-4C27-8BF5-B3F9EFD265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Blank.dotm</Template>
  <TotalTime>0</TotalTime>
  <Pages>8</Pages>
  <Words>2784</Words>
  <Characters>17543</Characters>
  <Application>Microsoft Office Word</Application>
  <DocSecurity>0</DocSecurity>
  <Lines>146</Lines>
  <Paragraphs>40</Paragraphs>
  <ScaleCrop>false</ScaleCrop>
  <HeadingPairs>
    <vt:vector size="2" baseType="variant">
      <vt:variant>
        <vt:lpstr>Title</vt:lpstr>
      </vt:variant>
      <vt:variant>
        <vt:i4>1</vt:i4>
      </vt:variant>
    </vt:vector>
  </HeadingPairs>
  <TitlesOfParts>
    <vt:vector size="1" baseType="lpstr">
      <vt:lpstr>Blank</vt:lpstr>
    </vt:vector>
  </TitlesOfParts>
  <Company>Copernicus Gesellschaft mbH</Company>
  <LinksUpToDate>false</LinksUpToDate>
  <CharactersWithSpaces>20287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Blank</dc:title>
  <dc:creator>Martin Rasmussen</dc:creator>
  <cp:lastModifiedBy>jknapp</cp:lastModifiedBy>
  <cp:revision>6</cp:revision>
  <cp:lastPrinted>2019-06-12T05:53:00Z</cp:lastPrinted>
  <dcterms:created xsi:type="dcterms:W3CDTF">2019-06-06T17:12:00Z</dcterms:created>
  <dcterms:modified xsi:type="dcterms:W3CDTF">2019-09-04T07:36:00Z</dcterms:modified>
</cp:coreProperties>
</file>