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49F92B" w14:textId="131052A5" w:rsidR="00126825" w:rsidRDefault="00126825" w:rsidP="005F044E">
      <w:pPr>
        <w:pStyle w:val="Heading2"/>
      </w:pPr>
      <w:r>
        <w:t>Supplementary Materia</w:t>
      </w:r>
      <w:r w:rsidR="00E66DC2">
        <w:t>l</w:t>
      </w:r>
    </w:p>
    <w:p w14:paraId="5A4C94EE" w14:textId="4A095DC0" w:rsidR="00323FCD" w:rsidRPr="00FF2549" w:rsidRDefault="0059332D" w:rsidP="005F044E">
      <w:pPr>
        <w:pStyle w:val="Heading2"/>
      </w:pPr>
      <w:r>
        <w:t>S</w:t>
      </w:r>
      <w:r w:rsidR="00126825">
        <w:t>1.</w:t>
      </w:r>
      <w:r w:rsidR="009B0448">
        <w:t xml:space="preserve"> </w:t>
      </w:r>
      <w:r w:rsidR="00323FCD" w:rsidRPr="00FF2549">
        <w:t>Application of frozen ground conditions</w:t>
      </w:r>
      <w:r w:rsidR="00C36059">
        <w:t xml:space="preserve"> and other </w:t>
      </w:r>
      <w:r w:rsidR="00FF0757">
        <w:t>EcH2O-iso adaptations</w:t>
      </w:r>
    </w:p>
    <w:p w14:paraId="46FA45D4" w14:textId="2ADD481D" w:rsidR="00323FCD" w:rsidRPr="00FF2549" w:rsidRDefault="00323FCD" w:rsidP="00FF0757">
      <w:pPr>
        <w:ind w:firstLine="426"/>
        <w:rPr>
          <w:rFonts w:eastAsiaTheme="minorEastAsia"/>
          <w:sz w:val="20"/>
          <w:szCs w:val="20"/>
        </w:rPr>
      </w:pPr>
      <w:r w:rsidRPr="00FF2549">
        <w:rPr>
          <w:sz w:val="20"/>
          <w:szCs w:val="20"/>
        </w:rPr>
        <w:t xml:space="preserve">Using </w:t>
      </w:r>
      <w:proofErr w:type="spellStart"/>
      <w:r w:rsidRPr="00FF2549">
        <w:rPr>
          <w:sz w:val="20"/>
          <w:szCs w:val="20"/>
        </w:rPr>
        <w:t>Eqns</w:t>
      </w:r>
      <w:proofErr w:type="spellEnd"/>
      <w:r w:rsidRPr="00FF2549">
        <w:rPr>
          <w:sz w:val="20"/>
          <w:szCs w:val="20"/>
        </w:rPr>
        <w:t xml:space="preserve"> 1-3 and 5, soil frost was estimated with a step-wise process using each soil layer (Carey and Woo, 2005). At the beginning of each time-step, </w:t>
      </w:r>
      <w:proofErr w:type="spellStart"/>
      <w:r w:rsidRPr="00FF2549">
        <w:rPr>
          <w:i/>
          <w:sz w:val="20"/>
          <w:szCs w:val="20"/>
        </w:rPr>
        <w:t>k</w:t>
      </w:r>
      <w:r w:rsidRPr="00FF2549">
        <w:rPr>
          <w:i/>
          <w:sz w:val="20"/>
          <w:szCs w:val="20"/>
          <w:vertAlign w:val="subscript"/>
        </w:rPr>
        <w:t>fi</w:t>
      </w:r>
      <w:proofErr w:type="spellEnd"/>
      <w:r w:rsidRPr="00FF2549">
        <w:rPr>
          <w:sz w:val="20"/>
          <w:szCs w:val="20"/>
        </w:rPr>
        <w:t xml:space="preserve"> was estimated for each soil layer. With the thermal conductivity and the depth of frost in each layer (</w:t>
      </w:r>
      <w:proofErr w:type="spellStart"/>
      <w:r w:rsidRPr="00FF2549">
        <w:rPr>
          <w:i/>
          <w:sz w:val="20"/>
          <w:szCs w:val="20"/>
        </w:rPr>
        <w:t>z</w:t>
      </w:r>
      <w:r w:rsidRPr="00FF2549">
        <w:rPr>
          <w:i/>
          <w:sz w:val="20"/>
          <w:szCs w:val="20"/>
          <w:vertAlign w:val="subscript"/>
        </w:rPr>
        <w:t>fi</w:t>
      </w:r>
      <w:proofErr w:type="spellEnd"/>
      <w:r w:rsidRPr="00FF2549">
        <w:rPr>
          <w:i/>
          <w:sz w:val="20"/>
          <w:szCs w:val="20"/>
        </w:rPr>
        <w:t>,</w:t>
      </w:r>
      <w:r w:rsidRPr="00FF2549">
        <w:rPr>
          <w:sz w:val="20"/>
          <w:szCs w:val="20"/>
        </w:rPr>
        <w:t xml:space="preserve"> and conversely unfrozen depth,</w:t>
      </w:r>
      <w:r w:rsidRPr="00FF2549">
        <w:rPr>
          <w:i/>
          <w:sz w:val="20"/>
          <w:szCs w:val="20"/>
        </w:rPr>
        <w:t xml:space="preserve"> </w:t>
      </w:r>
      <w:proofErr w:type="spellStart"/>
      <w:r w:rsidRPr="00FF2549">
        <w:rPr>
          <w:i/>
          <w:sz w:val="20"/>
          <w:szCs w:val="20"/>
        </w:rPr>
        <w:t>Δx</w:t>
      </w:r>
      <w:proofErr w:type="spellEnd"/>
      <w:r w:rsidRPr="00FF2549">
        <w:rPr>
          <w:sz w:val="20"/>
          <w:szCs w:val="20"/>
        </w:rPr>
        <w:t>), the thermal resistance of each layer was estimated (</w:t>
      </w:r>
      <m:oMath>
        <m:r>
          <w:rPr>
            <w:rFonts w:ascii="Cambria Math" w:hAnsi="Cambria Math"/>
            <w:sz w:val="20"/>
            <w:szCs w:val="20"/>
          </w:rPr>
          <m:t>R=</m:t>
        </m:r>
        <m:sSub>
          <m:sSubPr>
            <m:ctrlPr>
              <w:rPr>
                <w:rFonts w:ascii="Cambria Math" w:hAnsi="Cambria Math"/>
                <w:i/>
                <w:sz w:val="20"/>
                <w:szCs w:val="20"/>
              </w:rPr>
            </m:ctrlPr>
          </m:sSubPr>
          <m:e>
            <m:r>
              <w:rPr>
                <w:rFonts w:ascii="Cambria Math" w:hAnsi="Cambria Math"/>
                <w:sz w:val="20"/>
                <w:szCs w:val="20"/>
              </w:rPr>
              <m:t>z</m:t>
            </m:r>
          </m:e>
          <m:sub>
            <m:r>
              <w:rPr>
                <w:rFonts w:ascii="Cambria Math" w:hAnsi="Cambria Math"/>
                <w:sz w:val="20"/>
                <w:szCs w:val="20"/>
              </w:rPr>
              <m:t>fi</m:t>
            </m:r>
          </m:sub>
        </m:sSub>
        <m:r>
          <w:rPr>
            <w:rFonts w:ascii="Cambria Math" w:eastAsiaTheme="minorEastAsia" w:hAnsi="Cambria Math"/>
            <w:sz w:val="20"/>
            <w:szCs w:val="20"/>
          </w:rPr>
          <m:t>/</m:t>
        </m:r>
        <m:sSub>
          <m:sSubPr>
            <m:ctrlPr>
              <w:rPr>
                <w:rFonts w:ascii="Cambria Math" w:eastAsiaTheme="minorEastAsia" w:hAnsi="Cambria Math"/>
                <w:i/>
                <w:sz w:val="20"/>
                <w:szCs w:val="20"/>
              </w:rPr>
            </m:ctrlPr>
          </m:sSubPr>
          <m:e>
            <m:r>
              <w:rPr>
                <w:rFonts w:ascii="Cambria Math" w:eastAsiaTheme="minorEastAsia" w:hAnsi="Cambria Math"/>
                <w:sz w:val="20"/>
                <w:szCs w:val="20"/>
              </w:rPr>
              <m:t>k</m:t>
            </m:r>
          </m:e>
          <m:sub>
            <m:r>
              <w:rPr>
                <w:rFonts w:ascii="Cambria Math" w:eastAsiaTheme="minorEastAsia" w:hAnsi="Cambria Math"/>
                <w:sz w:val="20"/>
                <w:szCs w:val="20"/>
              </w:rPr>
              <m:t>fi</m:t>
            </m:r>
          </m:sub>
        </m:sSub>
      </m:oMath>
      <w:r w:rsidRPr="00FF2549">
        <w:rPr>
          <w:rFonts w:eastAsiaTheme="minorEastAsia"/>
          <w:sz w:val="20"/>
          <w:szCs w:val="20"/>
        </w:rPr>
        <w:t xml:space="preserve">). The depth of frost in each layer has a maximum of the total depth of the layer. If the total resistance to freeze soil layer </w:t>
      </w:r>
      <w:r w:rsidRPr="00FF2549">
        <w:rPr>
          <w:rFonts w:eastAsiaTheme="minorEastAsia"/>
          <w:i/>
          <w:sz w:val="20"/>
          <w:szCs w:val="20"/>
        </w:rPr>
        <w:t>m</w:t>
      </w:r>
      <w:r w:rsidRPr="00FF2549">
        <w:rPr>
          <w:rFonts w:eastAsiaTheme="minorEastAsia"/>
          <w:sz w:val="20"/>
          <w:szCs w:val="20"/>
        </w:rPr>
        <w:t xml:space="preserve"> is exceeded (i.e. </w:t>
      </w:r>
      <w:proofErr w:type="spellStart"/>
      <w:r w:rsidRPr="00FF2549">
        <w:rPr>
          <w:rFonts w:eastAsiaTheme="minorEastAsia"/>
          <w:sz w:val="20"/>
          <w:szCs w:val="20"/>
        </w:rPr>
        <w:t>T</w:t>
      </w:r>
      <w:r w:rsidRPr="00FF2549">
        <w:rPr>
          <w:rFonts w:eastAsiaTheme="minorEastAsia"/>
          <w:sz w:val="20"/>
          <w:szCs w:val="20"/>
          <w:vertAlign w:val="subscript"/>
        </w:rPr>
        <w:t>s</w:t>
      </w:r>
      <w:proofErr w:type="spellEnd"/>
      <w:r w:rsidRPr="00FF2549">
        <w:rPr>
          <w:rFonts w:eastAsiaTheme="minorEastAsia"/>
          <w:sz w:val="20"/>
          <w:szCs w:val="20"/>
        </w:rPr>
        <w:t xml:space="preserve"> &gt; </w:t>
      </w:r>
      <m:oMath>
        <m:r>
          <w:rPr>
            <w:rFonts w:ascii="Cambria Math" w:eastAsiaTheme="minorEastAsia" w:hAnsi="Cambria Math"/>
            <w:sz w:val="20"/>
            <w:szCs w:val="20"/>
          </w:rPr>
          <m:t>N(m)=λθ</m:t>
        </m:r>
        <m:r>
          <m:rPr>
            <m:sty m:val="p"/>
          </m:rPr>
          <w:rPr>
            <w:rFonts w:ascii="Cambria Math" w:eastAsiaTheme="minorEastAsia" w:hAnsi="Cambria Math"/>
            <w:sz w:val="20"/>
            <w:szCs w:val="20"/>
          </w:rPr>
          <m:t>Δ</m:t>
        </m:r>
        <m:r>
          <w:rPr>
            <w:rFonts w:ascii="Cambria Math" w:eastAsiaTheme="minorEastAsia" w:hAnsi="Cambria Math"/>
            <w:sz w:val="20"/>
            <w:szCs w:val="20"/>
          </w:rPr>
          <m:t>x(</m:t>
        </m:r>
        <m:nary>
          <m:naryPr>
            <m:chr m:val="∑"/>
            <m:limLoc m:val="subSup"/>
            <m:ctrlPr>
              <w:rPr>
                <w:rFonts w:ascii="Cambria Math" w:eastAsiaTheme="minorEastAsia" w:hAnsi="Cambria Math"/>
                <w:i/>
                <w:sz w:val="20"/>
                <w:szCs w:val="20"/>
              </w:rPr>
            </m:ctrlPr>
          </m:naryPr>
          <m:sub>
            <m:r>
              <w:rPr>
                <w:rFonts w:ascii="Cambria Math" w:eastAsiaTheme="minorEastAsia" w:hAnsi="Cambria Math"/>
                <w:sz w:val="20"/>
                <w:szCs w:val="20"/>
              </w:rPr>
              <m:t>j=1</m:t>
            </m:r>
          </m:sub>
          <m:sup>
            <m:r>
              <w:rPr>
                <w:rFonts w:ascii="Cambria Math" w:eastAsiaTheme="minorEastAsia" w:hAnsi="Cambria Math"/>
                <w:sz w:val="20"/>
                <w:szCs w:val="20"/>
              </w:rPr>
              <m:t>m-1</m:t>
            </m:r>
          </m:sup>
          <m:e>
            <m:r>
              <w:rPr>
                <w:rFonts w:ascii="Cambria Math" w:eastAsiaTheme="minorEastAsia" w:hAnsi="Cambria Math"/>
                <w:sz w:val="20"/>
                <w:szCs w:val="20"/>
              </w:rPr>
              <m:t>R</m:t>
            </m:r>
            <m:d>
              <m:dPr>
                <m:ctrlPr>
                  <w:rPr>
                    <w:rFonts w:ascii="Cambria Math" w:eastAsiaTheme="minorEastAsia" w:hAnsi="Cambria Math"/>
                    <w:i/>
                    <w:sz w:val="20"/>
                    <w:szCs w:val="20"/>
                  </w:rPr>
                </m:ctrlPr>
              </m:dPr>
              <m:e>
                <m:r>
                  <w:rPr>
                    <w:rFonts w:ascii="Cambria Math" w:eastAsiaTheme="minorEastAsia" w:hAnsi="Cambria Math"/>
                    <w:sz w:val="20"/>
                    <w:szCs w:val="20"/>
                  </w:rPr>
                  <m:t>j</m:t>
                </m:r>
              </m:e>
            </m:d>
          </m:e>
        </m:nary>
        <m:r>
          <w:rPr>
            <w:rFonts w:ascii="Cambria Math" w:eastAsiaTheme="minorEastAsia" w:hAnsi="Cambria Math"/>
            <w:sz w:val="20"/>
            <w:szCs w:val="20"/>
          </w:rPr>
          <m:t>)</m:t>
        </m:r>
      </m:oMath>
      <w:r w:rsidRPr="00FF2549">
        <w:rPr>
          <w:rFonts w:eastAsiaTheme="minorEastAsia"/>
          <w:sz w:val="20"/>
          <w:szCs w:val="20"/>
        </w:rPr>
        <w:t>, Carey and Woo, 2005), the soil layer is completely frozen. If the total resistance is not exceeded then partial freezing/thawing of the soil layer occurs: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gridCol w:w="709"/>
      </w:tblGrid>
      <w:tr w:rsidR="00323FCD" w:rsidRPr="00FF2549" w14:paraId="082D766B" w14:textId="77777777" w:rsidTr="005F1BE8">
        <w:tc>
          <w:tcPr>
            <w:tcW w:w="9638" w:type="dxa"/>
          </w:tcPr>
          <w:p w14:paraId="0A55A7EA" w14:textId="3456ED41" w:rsidR="00323FCD" w:rsidRPr="00FF2549" w:rsidRDefault="00323FCD" w:rsidP="009B7C4A">
            <w:pPr>
              <w:rPr>
                <w:sz w:val="20"/>
                <w:szCs w:val="20"/>
              </w:rPr>
            </w:pPr>
            <m:oMathPara>
              <m:oMathParaPr>
                <m:jc m:val="left"/>
              </m:oMathParaPr>
              <m:oMath>
                <m:r>
                  <m:rPr>
                    <m:sty m:val="p"/>
                  </m:rPr>
                  <w:rPr>
                    <w:rFonts w:ascii="Cambria Math" w:hAnsi="Cambria Math"/>
                    <w:sz w:val="20"/>
                    <w:szCs w:val="20"/>
                  </w:rPr>
                  <m:t>Δ</m:t>
                </m:r>
                <m:sSub>
                  <m:sSubPr>
                    <m:ctrlPr>
                      <w:rPr>
                        <w:rFonts w:ascii="Cambria Math" w:hAnsi="Cambria Math"/>
                        <w:i/>
                        <w:sz w:val="20"/>
                        <w:szCs w:val="20"/>
                      </w:rPr>
                    </m:ctrlPr>
                  </m:sSubPr>
                  <m:e>
                    <m:r>
                      <w:rPr>
                        <w:rFonts w:ascii="Cambria Math" w:hAnsi="Cambria Math"/>
                        <w:sz w:val="20"/>
                        <w:szCs w:val="20"/>
                      </w:rPr>
                      <m:t>z</m:t>
                    </m:r>
                  </m:e>
                  <m:sub>
                    <m:r>
                      <w:rPr>
                        <w:rFonts w:ascii="Cambria Math" w:hAnsi="Cambria Math"/>
                        <w:sz w:val="20"/>
                        <w:szCs w:val="20"/>
                      </w:rPr>
                      <m:t>f</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k</m:t>
                    </m:r>
                  </m:e>
                  <m:sub>
                    <m:r>
                      <w:rPr>
                        <w:rFonts w:ascii="Cambria Math" w:hAnsi="Cambria Math"/>
                        <w:sz w:val="20"/>
                        <w:szCs w:val="20"/>
                      </w:rPr>
                      <m:t>f</m:t>
                    </m:r>
                  </m:sub>
                </m:sSub>
                <m:d>
                  <m:dPr>
                    <m:ctrlPr>
                      <w:rPr>
                        <w:rFonts w:ascii="Cambria Math" w:hAnsi="Cambria Math"/>
                        <w:i/>
                        <w:sz w:val="20"/>
                        <w:szCs w:val="20"/>
                      </w:rPr>
                    </m:ctrlPr>
                  </m:dPr>
                  <m:e>
                    <m:r>
                      <w:rPr>
                        <w:rFonts w:ascii="Cambria Math" w:hAnsi="Cambria Math"/>
                        <w:sz w:val="20"/>
                        <w:szCs w:val="20"/>
                      </w:rPr>
                      <m:t>m</m:t>
                    </m:r>
                  </m:e>
                </m:d>
                <m:nary>
                  <m:naryPr>
                    <m:chr m:val="∑"/>
                    <m:limLoc m:val="undOvr"/>
                    <m:ctrlPr>
                      <w:rPr>
                        <w:rFonts w:ascii="Cambria Math" w:hAnsi="Cambria Math"/>
                        <w:i/>
                        <w:sz w:val="20"/>
                        <w:szCs w:val="20"/>
                      </w:rPr>
                    </m:ctrlPr>
                  </m:naryPr>
                  <m:sub>
                    <m:r>
                      <w:rPr>
                        <w:rFonts w:ascii="Cambria Math" w:hAnsi="Cambria Math"/>
                        <w:sz w:val="20"/>
                        <w:szCs w:val="20"/>
                      </w:rPr>
                      <m:t>j=1</m:t>
                    </m:r>
                  </m:sub>
                  <m:sup>
                    <m:r>
                      <w:rPr>
                        <w:rFonts w:ascii="Cambria Math" w:hAnsi="Cambria Math"/>
                        <w:sz w:val="20"/>
                        <w:szCs w:val="20"/>
                      </w:rPr>
                      <m:t>m-1</m:t>
                    </m:r>
                  </m:sup>
                  <m:e>
                    <m:r>
                      <w:rPr>
                        <w:rFonts w:ascii="Cambria Math" w:hAnsi="Cambria Math"/>
                        <w:sz w:val="20"/>
                        <w:szCs w:val="20"/>
                      </w:rPr>
                      <m:t>R(j)</m:t>
                    </m:r>
                  </m:e>
                </m:nary>
                <m:r>
                  <w:rPr>
                    <w:rFonts w:ascii="Cambria Math" w:hAnsi="Cambria Math"/>
                    <w:sz w:val="20"/>
                    <w:szCs w:val="20"/>
                  </w:rPr>
                  <m:t>+</m:t>
                </m:r>
                <m:rad>
                  <m:radPr>
                    <m:degHide m:val="1"/>
                    <m:ctrlPr>
                      <w:rPr>
                        <w:rFonts w:ascii="Cambria Math" w:hAnsi="Cambria Math"/>
                        <w:i/>
                        <w:sz w:val="20"/>
                        <w:szCs w:val="20"/>
                      </w:rPr>
                    </m:ctrlPr>
                  </m:radPr>
                  <m:deg/>
                  <m:e>
                    <m:sSub>
                      <m:sSubPr>
                        <m:ctrlPr>
                          <w:rPr>
                            <w:rFonts w:ascii="Cambria Math" w:hAnsi="Cambria Math"/>
                            <w:i/>
                            <w:sz w:val="20"/>
                            <w:szCs w:val="20"/>
                          </w:rPr>
                        </m:ctrlPr>
                      </m:sSubPr>
                      <m:e>
                        <m:r>
                          <w:rPr>
                            <w:rFonts w:ascii="Cambria Math" w:hAnsi="Cambria Math"/>
                            <w:sz w:val="20"/>
                            <w:szCs w:val="20"/>
                          </w:rPr>
                          <m:t>k</m:t>
                        </m:r>
                      </m:e>
                      <m:sub>
                        <m:r>
                          <w:rPr>
                            <w:rFonts w:ascii="Cambria Math" w:hAnsi="Cambria Math"/>
                            <w:sz w:val="20"/>
                            <w:szCs w:val="20"/>
                          </w:rPr>
                          <m:t>f</m:t>
                        </m:r>
                      </m:sub>
                    </m:sSub>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m</m:t>
                            </m:r>
                          </m:e>
                        </m:d>
                      </m:e>
                      <m:sup>
                        <m:r>
                          <w:rPr>
                            <w:rFonts w:ascii="Cambria Math" w:hAnsi="Cambria Math"/>
                            <w:sz w:val="20"/>
                            <w:szCs w:val="20"/>
                          </w:rPr>
                          <m:t>2</m:t>
                        </m:r>
                      </m:sup>
                    </m:sSup>
                    <m:sSup>
                      <m:sSupPr>
                        <m:ctrlPr>
                          <w:rPr>
                            <w:rFonts w:ascii="Cambria Math" w:hAnsi="Cambria Math"/>
                            <w:i/>
                            <w:sz w:val="20"/>
                            <w:szCs w:val="20"/>
                          </w:rPr>
                        </m:ctrlPr>
                      </m:sSupPr>
                      <m:e>
                        <m:d>
                          <m:dPr>
                            <m:ctrlPr>
                              <w:rPr>
                                <w:rFonts w:ascii="Cambria Math" w:hAnsi="Cambria Math"/>
                                <w:i/>
                                <w:sz w:val="20"/>
                                <w:szCs w:val="20"/>
                              </w:rPr>
                            </m:ctrlPr>
                          </m:dPr>
                          <m:e>
                            <m:nary>
                              <m:naryPr>
                                <m:chr m:val="∑"/>
                                <m:limLoc m:val="undOvr"/>
                                <m:ctrlPr>
                                  <w:rPr>
                                    <w:rFonts w:ascii="Cambria Math" w:hAnsi="Cambria Math"/>
                                    <w:i/>
                                    <w:sz w:val="20"/>
                                    <w:szCs w:val="20"/>
                                  </w:rPr>
                                </m:ctrlPr>
                              </m:naryPr>
                              <m:sub>
                                <m:r>
                                  <w:rPr>
                                    <w:rFonts w:ascii="Cambria Math" w:hAnsi="Cambria Math"/>
                                    <w:sz w:val="20"/>
                                    <w:szCs w:val="20"/>
                                  </w:rPr>
                                  <m:t>j=1</m:t>
                                </m:r>
                              </m:sub>
                              <m:sup>
                                <m:r>
                                  <w:rPr>
                                    <w:rFonts w:ascii="Cambria Math" w:hAnsi="Cambria Math"/>
                                    <w:sz w:val="20"/>
                                    <w:szCs w:val="20"/>
                                  </w:rPr>
                                  <m:t>m-1</m:t>
                                </m:r>
                              </m:sup>
                              <m:e>
                                <m:r>
                                  <w:rPr>
                                    <w:rFonts w:ascii="Cambria Math" w:hAnsi="Cambria Math"/>
                                    <w:sz w:val="20"/>
                                    <w:szCs w:val="20"/>
                                  </w:rPr>
                                  <m:t>R(j)</m:t>
                                </m:r>
                              </m:e>
                            </m:nary>
                          </m:e>
                        </m:d>
                      </m:e>
                      <m:sup>
                        <m:r>
                          <w:rPr>
                            <w:rFonts w:ascii="Cambria Math" w:hAnsi="Cambria Math"/>
                            <w:sz w:val="20"/>
                            <w:szCs w:val="20"/>
                          </w:rPr>
                          <m:t>2</m:t>
                        </m:r>
                      </m:sup>
                    </m:sSup>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2</m:t>
                        </m:r>
                        <m:sSub>
                          <m:sSubPr>
                            <m:ctrlPr>
                              <w:rPr>
                                <w:rFonts w:ascii="Cambria Math" w:hAnsi="Cambria Math"/>
                                <w:i/>
                                <w:sz w:val="20"/>
                                <w:szCs w:val="20"/>
                              </w:rPr>
                            </m:ctrlPr>
                          </m:sSubPr>
                          <m:e>
                            <m:r>
                              <w:rPr>
                                <w:rFonts w:ascii="Cambria Math" w:hAnsi="Cambria Math"/>
                                <w:sz w:val="20"/>
                                <w:szCs w:val="20"/>
                              </w:rPr>
                              <m:t>k</m:t>
                            </m:r>
                          </m:e>
                          <m:sub>
                            <m:r>
                              <w:rPr>
                                <w:rFonts w:ascii="Cambria Math" w:hAnsi="Cambria Math"/>
                                <w:sz w:val="20"/>
                                <w:szCs w:val="20"/>
                              </w:rPr>
                              <m:t>f</m:t>
                            </m:r>
                          </m:sub>
                        </m:sSub>
                        <m:d>
                          <m:dPr>
                            <m:ctrlPr>
                              <w:rPr>
                                <w:rFonts w:ascii="Cambria Math" w:hAnsi="Cambria Math"/>
                                <w:i/>
                                <w:sz w:val="20"/>
                                <w:szCs w:val="20"/>
                              </w:rPr>
                            </m:ctrlPr>
                          </m:dPr>
                          <m:e>
                            <m:r>
                              <w:rPr>
                                <w:rFonts w:ascii="Cambria Math" w:hAnsi="Cambria Math"/>
                                <w:sz w:val="20"/>
                                <w:szCs w:val="20"/>
                              </w:rPr>
                              <m:t>m</m:t>
                            </m:r>
                          </m:e>
                        </m:d>
                        <m:r>
                          <w:rPr>
                            <w:rFonts w:ascii="Cambria Math" w:hAnsi="Cambria Math"/>
                            <w:sz w:val="20"/>
                            <w:szCs w:val="20"/>
                          </w:rPr>
                          <m:t>N</m:t>
                        </m:r>
                      </m:num>
                      <m:den>
                        <m:r>
                          <w:rPr>
                            <w:rFonts w:ascii="Cambria Math" w:hAnsi="Cambria Math"/>
                            <w:sz w:val="20"/>
                            <w:szCs w:val="20"/>
                          </w:rPr>
                          <m:t>λθ</m:t>
                        </m:r>
                      </m:den>
                    </m:f>
                  </m:e>
                </m:rad>
              </m:oMath>
            </m:oMathPara>
          </w:p>
        </w:tc>
        <w:tc>
          <w:tcPr>
            <w:tcW w:w="709" w:type="dxa"/>
            <w:vAlign w:val="center"/>
          </w:tcPr>
          <w:p w14:paraId="131783F1" w14:textId="5B6ED471" w:rsidR="00323FCD" w:rsidRPr="00FF2549" w:rsidRDefault="00126825" w:rsidP="005F1BE8">
            <w:pPr>
              <w:spacing w:line="480" w:lineRule="auto"/>
              <w:jc w:val="center"/>
              <w:rPr>
                <w:sz w:val="20"/>
                <w:szCs w:val="20"/>
              </w:rPr>
            </w:pPr>
            <w:r>
              <w:rPr>
                <w:sz w:val="20"/>
                <w:szCs w:val="20"/>
              </w:rPr>
              <w:t>S.</w:t>
            </w:r>
            <w:r w:rsidR="00060B1B" w:rsidRPr="00FF2549">
              <w:rPr>
                <w:sz w:val="20"/>
                <w:szCs w:val="20"/>
              </w:rPr>
              <w:t>1</w:t>
            </w:r>
          </w:p>
        </w:tc>
      </w:tr>
    </w:tbl>
    <w:p w14:paraId="53248D62" w14:textId="1F97EBB4" w:rsidR="00323FCD" w:rsidRDefault="00060B1B" w:rsidP="00323FCD">
      <w:pPr>
        <w:rPr>
          <w:sz w:val="20"/>
          <w:szCs w:val="20"/>
        </w:rPr>
      </w:pPr>
      <w:r w:rsidRPr="00FF2549">
        <w:rPr>
          <w:sz w:val="20"/>
          <w:szCs w:val="20"/>
        </w:rPr>
        <w:t xml:space="preserve">where the sum of the terms R(j) are the resistance of frozen soil layers up to the soil layer currently undergoing freezing, and </w:t>
      </w:r>
      <w:proofErr w:type="spellStart"/>
      <w:r w:rsidRPr="00FF2549">
        <w:rPr>
          <w:sz w:val="20"/>
          <w:szCs w:val="20"/>
        </w:rPr>
        <w:t>Δz</w:t>
      </w:r>
      <w:r w:rsidRPr="00FF2549">
        <w:rPr>
          <w:sz w:val="20"/>
          <w:szCs w:val="20"/>
          <w:vertAlign w:val="subscript"/>
        </w:rPr>
        <w:t>f</w:t>
      </w:r>
      <w:proofErr w:type="spellEnd"/>
      <w:r w:rsidRPr="00FF2549">
        <w:rPr>
          <w:sz w:val="20"/>
          <w:szCs w:val="20"/>
        </w:rPr>
        <w:t xml:space="preserve"> is the increase/decrease in the depth of frost. </w:t>
      </w:r>
      <w:r w:rsidR="005F1BE8" w:rsidRPr="00FF2549">
        <w:rPr>
          <w:sz w:val="20"/>
          <w:szCs w:val="20"/>
        </w:rPr>
        <w:t>The process is repeated each day to estimate the increase (freezing) or decreasing (thawing) of the frost front.</w:t>
      </w:r>
    </w:p>
    <w:p w14:paraId="3F8226C2" w14:textId="77777777" w:rsidR="00FF0757" w:rsidRPr="00FF2549" w:rsidRDefault="00FF0757" w:rsidP="00FF0757">
      <w:pPr>
        <w:ind w:firstLine="426"/>
        <w:rPr>
          <w:sz w:val="20"/>
          <w:szCs w:val="20"/>
        </w:rPr>
      </w:pPr>
      <w:r w:rsidRPr="00FF2549">
        <w:rPr>
          <w:sz w:val="20"/>
          <w:szCs w:val="20"/>
        </w:rPr>
        <w:t xml:space="preserve">The limitation of a single, non-depth dependent porosity and hydraulic conductivity in the model structure was modified as a minor model structure change by using a simple exponential function to decrease the soil porosity and hydraulic conductivity with depth, similar to the approach employed by </w:t>
      </w:r>
      <w:proofErr w:type="spellStart"/>
      <w:r w:rsidRPr="00FF2549">
        <w:rPr>
          <w:sz w:val="20"/>
          <w:szCs w:val="20"/>
        </w:rPr>
        <w:t>Kuppel</w:t>
      </w:r>
      <w:proofErr w:type="spellEnd"/>
      <w:r w:rsidRPr="00FF2549">
        <w:rPr>
          <w:sz w:val="20"/>
          <w:szCs w:val="20"/>
        </w:rPr>
        <w:t xml:space="preserve"> et al. (2018) for the rooting profile. Similar to the original model structure, the approach assumes that the soil properties are the same for all soil layers (3), while increased consolidation of soils at deeper depths result in lower porosity and lower hydraulic conductivity. The porosity is estimated for layer 1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gridCol w:w="709"/>
      </w:tblGrid>
      <w:tr w:rsidR="00FF0757" w:rsidRPr="00FF2549" w14:paraId="4FD272A0" w14:textId="77777777" w:rsidTr="00836A91">
        <w:tc>
          <w:tcPr>
            <w:tcW w:w="9638" w:type="dxa"/>
          </w:tcPr>
          <w:p w14:paraId="7F15B2AB" w14:textId="77777777" w:rsidR="00FF0757" w:rsidRPr="00FF2549" w:rsidRDefault="00D12168" w:rsidP="00836A91">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ϕ</m:t>
                    </m:r>
                  </m:e>
                  <m:sub>
                    <m:r>
                      <w:rPr>
                        <w:rFonts w:ascii="Cambria Math" w:hAnsi="Cambria Math"/>
                        <w:sz w:val="20"/>
                        <w:szCs w:val="20"/>
                      </w:rPr>
                      <m:t>1</m:t>
                    </m:r>
                  </m:sub>
                </m:sSub>
                <m:r>
                  <w:rPr>
                    <w:rFonts w:ascii="Cambria Math" w:hAnsi="Cambria Math"/>
                    <w:sz w:val="20"/>
                    <w:szCs w:val="20"/>
                  </w:rPr>
                  <m:t>=k∙ϕ</m:t>
                </m:r>
                <m:r>
                  <w:rPr>
                    <w:rFonts w:ascii="Cambria Math" w:eastAsiaTheme="minorEastAsia" w:hAnsi="Cambria Math"/>
                    <w:sz w:val="20"/>
                    <w:szCs w:val="20"/>
                  </w:rPr>
                  <m:t>∙</m:t>
                </m:r>
                <m:d>
                  <m:dPr>
                    <m:ctrlPr>
                      <w:rPr>
                        <w:rFonts w:ascii="Cambria Math" w:eastAsiaTheme="minorEastAsia" w:hAnsi="Cambria Math"/>
                        <w:i/>
                        <w:sz w:val="20"/>
                        <w:szCs w:val="20"/>
                      </w:rPr>
                    </m:ctrlPr>
                  </m:dPr>
                  <m:e>
                    <m:r>
                      <w:rPr>
                        <w:rFonts w:ascii="Cambria Math" w:eastAsiaTheme="minorEastAsia" w:hAnsi="Cambria Math"/>
                        <w:sz w:val="20"/>
                        <w:szCs w:val="20"/>
                      </w:rPr>
                      <m:t>1-</m:t>
                    </m:r>
                    <m:func>
                      <m:funcPr>
                        <m:ctrlPr>
                          <w:rPr>
                            <w:rFonts w:ascii="Cambria Math" w:eastAsiaTheme="minorEastAsia" w:hAnsi="Cambria Math"/>
                            <w:i/>
                            <w:sz w:val="20"/>
                            <w:szCs w:val="20"/>
                          </w:rPr>
                        </m:ctrlPr>
                      </m:funcPr>
                      <m:fName>
                        <m:r>
                          <m:rPr>
                            <m:sty m:val="p"/>
                          </m:rPr>
                          <w:rPr>
                            <w:rFonts w:ascii="Cambria Math" w:eastAsiaTheme="minorEastAsia" w:hAnsi="Cambria Math"/>
                            <w:sz w:val="20"/>
                            <w:szCs w:val="20"/>
                          </w:rPr>
                          <m:t>exp</m:t>
                        </m:r>
                      </m:fName>
                      <m:e>
                        <m:d>
                          <m:dPr>
                            <m:ctrlPr>
                              <w:rPr>
                                <w:rFonts w:ascii="Cambria Math" w:eastAsiaTheme="minorEastAsia" w:hAnsi="Cambria Math"/>
                                <w:i/>
                                <w:sz w:val="20"/>
                                <w:szCs w:val="20"/>
                              </w:rPr>
                            </m:ctrlPr>
                          </m:dPr>
                          <m:e>
                            <m:r>
                              <w:rPr>
                                <w:rFonts w:ascii="Cambria Math" w:eastAsiaTheme="minorEastAsia" w:hAnsi="Cambria Math"/>
                                <w:sz w:val="20"/>
                                <w:szCs w:val="20"/>
                              </w:rPr>
                              <m:t>-</m:t>
                            </m:r>
                            <m:f>
                              <m:fPr>
                                <m:ctrlPr>
                                  <w:rPr>
                                    <w:rFonts w:ascii="Cambria Math" w:eastAsiaTheme="minorEastAsia" w:hAnsi="Cambria Math"/>
                                    <w:i/>
                                    <w:sz w:val="20"/>
                                    <w:szCs w:val="20"/>
                                  </w:rPr>
                                </m:ctrlPr>
                              </m:fPr>
                              <m:num>
                                <m:sSub>
                                  <m:sSubPr>
                                    <m:ctrlPr>
                                      <w:rPr>
                                        <w:rFonts w:ascii="Cambria Math" w:eastAsiaTheme="minorEastAsia" w:hAnsi="Cambria Math"/>
                                        <w:i/>
                                        <w:sz w:val="20"/>
                                        <w:szCs w:val="20"/>
                                      </w:rPr>
                                    </m:ctrlPr>
                                  </m:sSubPr>
                                  <m:e>
                                    <m:r>
                                      <w:rPr>
                                        <w:rFonts w:ascii="Cambria Math" w:eastAsiaTheme="minorEastAsia" w:hAnsi="Cambria Math"/>
                                        <w:sz w:val="20"/>
                                        <w:szCs w:val="20"/>
                                      </w:rPr>
                                      <m:t>d</m:t>
                                    </m:r>
                                  </m:e>
                                  <m:sub>
                                    <m:r>
                                      <w:rPr>
                                        <w:rFonts w:ascii="Cambria Math" w:eastAsiaTheme="minorEastAsia" w:hAnsi="Cambria Math"/>
                                        <w:sz w:val="20"/>
                                        <w:szCs w:val="20"/>
                                      </w:rPr>
                                      <m:t>1</m:t>
                                    </m:r>
                                  </m:sub>
                                </m:sSub>
                              </m:num>
                              <m:den>
                                <m:r>
                                  <w:rPr>
                                    <w:rFonts w:ascii="Cambria Math" w:eastAsiaTheme="minorEastAsia" w:hAnsi="Cambria Math"/>
                                    <w:sz w:val="20"/>
                                    <w:szCs w:val="20"/>
                                  </w:rPr>
                                  <m:t>k</m:t>
                                </m:r>
                              </m:den>
                            </m:f>
                          </m:e>
                        </m:d>
                      </m:e>
                    </m:func>
                  </m:e>
                </m:d>
                <m:r>
                  <w:rPr>
                    <w:rFonts w:ascii="Cambria Math" w:eastAsiaTheme="minorEastAsia" w:hAnsi="Cambria Math"/>
                    <w:sz w:val="20"/>
                    <w:szCs w:val="20"/>
                  </w:rPr>
                  <m:t>/</m:t>
                </m:r>
                <m:sSub>
                  <m:sSubPr>
                    <m:ctrlPr>
                      <w:rPr>
                        <w:rFonts w:ascii="Cambria Math" w:eastAsiaTheme="minorEastAsia" w:hAnsi="Cambria Math"/>
                        <w:i/>
                        <w:sz w:val="20"/>
                        <w:szCs w:val="20"/>
                      </w:rPr>
                    </m:ctrlPr>
                  </m:sSubPr>
                  <m:e>
                    <m:r>
                      <w:rPr>
                        <w:rFonts w:ascii="Cambria Math" w:eastAsiaTheme="minorEastAsia" w:hAnsi="Cambria Math"/>
                        <w:sz w:val="20"/>
                        <w:szCs w:val="20"/>
                      </w:rPr>
                      <m:t>d</m:t>
                    </m:r>
                  </m:e>
                  <m:sub>
                    <m:r>
                      <w:rPr>
                        <w:rFonts w:ascii="Cambria Math" w:eastAsiaTheme="minorEastAsia" w:hAnsi="Cambria Math"/>
                        <w:sz w:val="20"/>
                        <w:szCs w:val="20"/>
                      </w:rPr>
                      <m:t>1</m:t>
                    </m:r>
                  </m:sub>
                </m:sSub>
              </m:oMath>
            </m:oMathPara>
          </w:p>
        </w:tc>
        <w:tc>
          <w:tcPr>
            <w:tcW w:w="709" w:type="dxa"/>
            <w:vAlign w:val="center"/>
          </w:tcPr>
          <w:p w14:paraId="7E745449" w14:textId="2B751EC4" w:rsidR="00FF0757" w:rsidRPr="00FF2549" w:rsidRDefault="00126825" w:rsidP="00836A91">
            <w:pPr>
              <w:jc w:val="center"/>
              <w:rPr>
                <w:sz w:val="20"/>
                <w:szCs w:val="20"/>
              </w:rPr>
            </w:pPr>
            <w:r>
              <w:rPr>
                <w:sz w:val="20"/>
                <w:szCs w:val="20"/>
              </w:rPr>
              <w:t>S.</w:t>
            </w:r>
            <w:r w:rsidR="00FF0757">
              <w:rPr>
                <w:sz w:val="20"/>
                <w:szCs w:val="20"/>
              </w:rPr>
              <w:t>2</w:t>
            </w:r>
          </w:p>
        </w:tc>
      </w:tr>
    </w:tbl>
    <w:p w14:paraId="57843293" w14:textId="77777777" w:rsidR="00FF0757" w:rsidRPr="00FF2549" w:rsidRDefault="00FF0757" w:rsidP="00FF0757">
      <w:pPr>
        <w:rPr>
          <w:sz w:val="20"/>
          <w:szCs w:val="20"/>
        </w:rPr>
      </w:pPr>
      <w:r w:rsidRPr="00FF2549">
        <w:rPr>
          <w:sz w:val="20"/>
          <w:szCs w:val="20"/>
        </w:rPr>
        <w:t xml:space="preserve">where </w:t>
      </w:r>
      <w:r w:rsidRPr="00FF2549">
        <w:rPr>
          <w:i/>
          <w:sz w:val="20"/>
          <w:szCs w:val="20"/>
        </w:rPr>
        <w:t>d</w:t>
      </w:r>
      <w:r w:rsidRPr="00FF2549">
        <w:rPr>
          <w:i/>
          <w:sz w:val="20"/>
          <w:szCs w:val="20"/>
          <w:vertAlign w:val="subscript"/>
        </w:rPr>
        <w:t>1</w:t>
      </w:r>
      <w:r w:rsidRPr="00FF2549">
        <w:rPr>
          <w:sz w:val="20"/>
          <w:szCs w:val="20"/>
        </w:rPr>
        <w:t xml:space="preserve"> is the soil depth of layer 1, </w:t>
      </w:r>
      <w:proofErr w:type="spellStart"/>
      <w:r w:rsidRPr="00FF2549">
        <w:rPr>
          <w:i/>
          <w:sz w:val="20"/>
          <w:szCs w:val="20"/>
        </w:rPr>
        <w:t>ϕ</w:t>
      </w:r>
      <w:r w:rsidRPr="00FF2549">
        <w:rPr>
          <w:i/>
          <w:sz w:val="20"/>
          <w:szCs w:val="20"/>
          <w:vertAlign w:val="subscript"/>
        </w:rPr>
        <w:t>o</w:t>
      </w:r>
      <w:proofErr w:type="spellEnd"/>
      <w:r w:rsidRPr="00FF2549">
        <w:rPr>
          <w:sz w:val="20"/>
          <w:szCs w:val="20"/>
        </w:rPr>
        <w:t xml:space="preserve"> is the porosity at the soil surface, and </w:t>
      </w:r>
      <w:r w:rsidRPr="00FF2549">
        <w:rPr>
          <w:i/>
          <w:sz w:val="20"/>
          <w:szCs w:val="20"/>
        </w:rPr>
        <w:t>k</w:t>
      </w:r>
      <w:r w:rsidRPr="00FF2549">
        <w:rPr>
          <w:sz w:val="20"/>
          <w:szCs w:val="20"/>
        </w:rPr>
        <w:t xml:space="preserve"> is the exponential rate of change of the porosity. For layer 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gridCol w:w="709"/>
      </w:tblGrid>
      <w:tr w:rsidR="00FF0757" w:rsidRPr="00FF2549" w14:paraId="0D70CA9B" w14:textId="77777777" w:rsidTr="00836A91">
        <w:tc>
          <w:tcPr>
            <w:tcW w:w="9638" w:type="dxa"/>
          </w:tcPr>
          <w:p w14:paraId="05951210" w14:textId="77777777" w:rsidR="00FF0757" w:rsidRPr="00FF2549" w:rsidRDefault="00D12168" w:rsidP="00836A91">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ϕ</m:t>
                    </m:r>
                  </m:e>
                  <m:sub>
                    <m:r>
                      <w:rPr>
                        <w:rFonts w:ascii="Cambria Math" w:hAnsi="Cambria Math"/>
                        <w:sz w:val="20"/>
                        <w:szCs w:val="20"/>
                      </w:rPr>
                      <m:t>2</m:t>
                    </m:r>
                  </m:sub>
                </m:sSub>
                <m:r>
                  <w:rPr>
                    <w:rFonts w:ascii="Cambria Math" w:hAnsi="Cambria Math"/>
                    <w:sz w:val="20"/>
                    <w:szCs w:val="20"/>
                  </w:rPr>
                  <m:t>=k∙ϕ∙</m:t>
                </m:r>
                <m:d>
                  <m:dPr>
                    <m:ctrlPr>
                      <w:rPr>
                        <w:rFonts w:ascii="Cambria Math" w:hAnsi="Cambria Math"/>
                        <w:i/>
                        <w:sz w:val="20"/>
                        <w:szCs w:val="20"/>
                      </w:rPr>
                    </m:ctrlPr>
                  </m:dPr>
                  <m:e>
                    <m:func>
                      <m:funcPr>
                        <m:ctrlPr>
                          <w:rPr>
                            <w:rFonts w:ascii="Cambria Math" w:hAnsi="Cambria Math"/>
                            <w:i/>
                            <w:sz w:val="20"/>
                            <w:szCs w:val="20"/>
                          </w:rPr>
                        </m:ctrlPr>
                      </m:funcPr>
                      <m:fName>
                        <m:r>
                          <m:rPr>
                            <m:sty m:val="p"/>
                          </m:rPr>
                          <w:rPr>
                            <w:rFonts w:ascii="Cambria Math" w:hAnsi="Cambria Math"/>
                            <w:sz w:val="20"/>
                            <w:szCs w:val="20"/>
                          </w:rPr>
                          <m:t>exp</m:t>
                        </m:r>
                      </m:fName>
                      <m:e>
                        <m:d>
                          <m:dPr>
                            <m:ctrlPr>
                              <w:rPr>
                                <w:rFonts w:ascii="Cambria Math" w:hAnsi="Cambria Math"/>
                                <w:i/>
                                <w:sz w:val="20"/>
                                <w:szCs w:val="20"/>
                              </w:rPr>
                            </m:ctrlPr>
                          </m:dPr>
                          <m:e>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num>
                              <m:den>
                                <m:r>
                                  <w:rPr>
                                    <w:rFonts w:ascii="Cambria Math" w:hAnsi="Cambria Math"/>
                                    <w:sz w:val="20"/>
                                    <w:szCs w:val="20"/>
                                  </w:rPr>
                                  <m:t>k</m:t>
                                </m:r>
                              </m:den>
                            </m:f>
                          </m:e>
                        </m:d>
                        <m:r>
                          <w:rPr>
                            <w:rFonts w:ascii="Cambria Math" w:hAnsi="Cambria Math"/>
                            <w:sz w:val="20"/>
                            <w:szCs w:val="20"/>
                          </w:rPr>
                          <m:t>-</m:t>
                        </m:r>
                        <m:func>
                          <m:funcPr>
                            <m:ctrlPr>
                              <w:rPr>
                                <w:rFonts w:ascii="Cambria Math" w:hAnsi="Cambria Math"/>
                                <w:i/>
                                <w:sz w:val="20"/>
                                <w:szCs w:val="20"/>
                              </w:rPr>
                            </m:ctrlPr>
                          </m:funcPr>
                          <m:fName>
                            <m:r>
                              <m:rPr>
                                <m:sty m:val="p"/>
                              </m:rPr>
                              <w:rPr>
                                <w:rFonts w:ascii="Cambria Math" w:hAnsi="Cambria Math"/>
                                <w:sz w:val="20"/>
                                <w:szCs w:val="20"/>
                              </w:rPr>
                              <m:t>exp</m:t>
                            </m:r>
                          </m:fName>
                          <m:e>
                            <m:d>
                              <m:dPr>
                                <m:ctrlPr>
                                  <w:rPr>
                                    <w:rFonts w:ascii="Cambria Math" w:hAnsi="Cambria Math"/>
                                    <w:i/>
                                    <w:sz w:val="20"/>
                                    <w:szCs w:val="20"/>
                                  </w:rPr>
                                </m:ctrlPr>
                              </m:dPr>
                              <m:e>
                                <m:r>
                                  <w:rPr>
                                    <w:rFonts w:ascii="Cambria Math" w:hAnsi="Cambria Math"/>
                                    <w:sz w:val="20"/>
                                    <w:szCs w:val="20"/>
                                  </w:rPr>
                                  <m:t>-</m:t>
                                </m:r>
                                <m:f>
                                  <m:fPr>
                                    <m:ctrlPr>
                                      <w:rPr>
                                        <w:rFonts w:ascii="Cambria Math" w:hAnsi="Cambria Math"/>
                                        <w:i/>
                                        <w:sz w:val="20"/>
                                        <w:szCs w:val="20"/>
                                      </w:rPr>
                                    </m:ctrlPr>
                                  </m:fPr>
                                  <m:num>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e>
                                    </m:d>
                                  </m:num>
                                  <m:den>
                                    <m:r>
                                      <w:rPr>
                                        <w:rFonts w:ascii="Cambria Math" w:hAnsi="Cambria Math"/>
                                        <w:sz w:val="20"/>
                                        <w:szCs w:val="20"/>
                                      </w:rPr>
                                      <m:t>k</m:t>
                                    </m:r>
                                  </m:den>
                                </m:f>
                              </m:e>
                            </m:d>
                          </m:e>
                        </m:func>
                      </m:e>
                    </m:func>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oMath>
            </m:oMathPara>
          </w:p>
        </w:tc>
        <w:tc>
          <w:tcPr>
            <w:tcW w:w="709" w:type="dxa"/>
            <w:vAlign w:val="center"/>
          </w:tcPr>
          <w:p w14:paraId="42E2AF6D" w14:textId="33B9B468" w:rsidR="00FF0757" w:rsidRPr="00FF2549" w:rsidRDefault="00126825" w:rsidP="00836A91">
            <w:pPr>
              <w:jc w:val="center"/>
              <w:rPr>
                <w:sz w:val="20"/>
                <w:szCs w:val="20"/>
              </w:rPr>
            </w:pPr>
            <w:r>
              <w:rPr>
                <w:sz w:val="20"/>
                <w:szCs w:val="20"/>
              </w:rPr>
              <w:t>S.</w:t>
            </w:r>
            <w:r w:rsidR="00FF0757">
              <w:rPr>
                <w:sz w:val="20"/>
                <w:szCs w:val="20"/>
              </w:rPr>
              <w:t>3</w:t>
            </w:r>
          </w:p>
        </w:tc>
      </w:tr>
    </w:tbl>
    <w:p w14:paraId="3B196643" w14:textId="77777777" w:rsidR="00FF0757" w:rsidRPr="00FF2549" w:rsidRDefault="00FF0757" w:rsidP="00FF0757">
      <w:pPr>
        <w:rPr>
          <w:sz w:val="20"/>
          <w:szCs w:val="20"/>
        </w:rPr>
      </w:pPr>
      <w:r w:rsidRPr="00FF2549">
        <w:rPr>
          <w:sz w:val="20"/>
          <w:szCs w:val="20"/>
        </w:rPr>
        <w:t>where d</w:t>
      </w:r>
      <w:r w:rsidRPr="00FF2549">
        <w:rPr>
          <w:sz w:val="20"/>
          <w:szCs w:val="20"/>
          <w:vertAlign w:val="subscript"/>
        </w:rPr>
        <w:t>2</w:t>
      </w:r>
      <w:r w:rsidRPr="00FF2549">
        <w:rPr>
          <w:sz w:val="20"/>
          <w:szCs w:val="20"/>
        </w:rPr>
        <w:t xml:space="preserve"> is the depth of layer 2, and for layer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gridCol w:w="709"/>
      </w:tblGrid>
      <w:tr w:rsidR="00FF0757" w:rsidRPr="00FF2549" w14:paraId="5019CF5B" w14:textId="77777777" w:rsidTr="00836A91">
        <w:tc>
          <w:tcPr>
            <w:tcW w:w="9638" w:type="dxa"/>
          </w:tcPr>
          <w:p w14:paraId="5874FCE4" w14:textId="77777777" w:rsidR="00FF0757" w:rsidRPr="00FF2549" w:rsidRDefault="00D12168" w:rsidP="00836A91">
            <w:pPr>
              <w:rPr>
                <w:sz w:val="20"/>
                <w:szCs w:val="20"/>
              </w:rPr>
            </w:pPr>
            <m:oMathPara>
              <m:oMathParaPr>
                <m:jc m:val="left"/>
              </m:oMathParaPr>
              <m:oMath>
                <m:sSub>
                  <m:sSubPr>
                    <m:ctrlPr>
                      <w:rPr>
                        <w:rFonts w:ascii="Cambria Math" w:hAnsi="Cambria Math"/>
                        <w:i/>
                        <w:sz w:val="20"/>
                        <w:szCs w:val="20"/>
                      </w:rPr>
                    </m:ctrlPr>
                  </m:sSubPr>
                  <m:e>
                    <m:r>
                      <w:rPr>
                        <w:rFonts w:ascii="Cambria Math" w:hAnsi="Cambria Math"/>
                        <w:sz w:val="20"/>
                        <w:szCs w:val="20"/>
                      </w:rPr>
                      <m:t>ϕ</m:t>
                    </m:r>
                  </m:e>
                  <m:sub>
                    <m:r>
                      <w:rPr>
                        <w:rFonts w:ascii="Cambria Math" w:hAnsi="Cambria Math"/>
                        <w:sz w:val="20"/>
                        <w:szCs w:val="20"/>
                      </w:rPr>
                      <m:t>3</m:t>
                    </m:r>
                  </m:sub>
                </m:sSub>
                <m:r>
                  <w:rPr>
                    <w:rFonts w:ascii="Cambria Math" w:hAnsi="Cambria Math"/>
                    <w:sz w:val="20"/>
                    <w:szCs w:val="20"/>
                  </w:rPr>
                  <m:t>=k∙ϕ∙</m:t>
                </m:r>
                <m:d>
                  <m:dPr>
                    <m:ctrlPr>
                      <w:rPr>
                        <w:rFonts w:ascii="Cambria Math" w:hAnsi="Cambria Math"/>
                        <w:i/>
                        <w:sz w:val="20"/>
                        <w:szCs w:val="20"/>
                      </w:rPr>
                    </m:ctrlPr>
                  </m:dPr>
                  <m:e>
                    <m:func>
                      <m:funcPr>
                        <m:ctrlPr>
                          <w:rPr>
                            <w:rFonts w:ascii="Cambria Math" w:hAnsi="Cambria Math"/>
                            <w:i/>
                            <w:sz w:val="20"/>
                            <w:szCs w:val="20"/>
                          </w:rPr>
                        </m:ctrlPr>
                      </m:funcPr>
                      <m:fName>
                        <m:r>
                          <m:rPr>
                            <m:sty m:val="p"/>
                          </m:rPr>
                          <w:rPr>
                            <w:rFonts w:ascii="Cambria Math" w:hAnsi="Cambria Math"/>
                            <w:sz w:val="20"/>
                            <w:szCs w:val="20"/>
                          </w:rPr>
                          <m:t>exp</m:t>
                        </m:r>
                      </m:fName>
                      <m:e>
                        <m:d>
                          <m:dPr>
                            <m:ctrlPr>
                              <w:rPr>
                                <w:rFonts w:ascii="Cambria Math" w:hAnsi="Cambria Math"/>
                                <w:i/>
                                <w:sz w:val="20"/>
                                <w:szCs w:val="20"/>
                              </w:rPr>
                            </m:ctrlPr>
                          </m:dPr>
                          <m:e>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num>
                              <m:den>
                                <m:r>
                                  <w:rPr>
                                    <w:rFonts w:ascii="Cambria Math" w:hAnsi="Cambria Math"/>
                                    <w:sz w:val="20"/>
                                    <w:szCs w:val="20"/>
                                  </w:rPr>
                                  <m:t>k</m:t>
                                </m:r>
                              </m:den>
                            </m:f>
                          </m:e>
                        </m:d>
                      </m:e>
                    </m:func>
                    <m:r>
                      <w:rPr>
                        <w:rFonts w:ascii="Cambria Math" w:hAnsi="Cambria Math"/>
                        <w:sz w:val="20"/>
                        <w:szCs w:val="20"/>
                      </w:rPr>
                      <m:t>-</m:t>
                    </m:r>
                    <m:func>
                      <m:funcPr>
                        <m:ctrlPr>
                          <w:rPr>
                            <w:rFonts w:ascii="Cambria Math" w:hAnsi="Cambria Math"/>
                            <w:i/>
                            <w:sz w:val="20"/>
                            <w:szCs w:val="20"/>
                          </w:rPr>
                        </m:ctrlPr>
                      </m:funcPr>
                      <m:fName>
                        <m:r>
                          <m:rPr>
                            <m:sty m:val="p"/>
                          </m:rPr>
                          <w:rPr>
                            <w:rFonts w:ascii="Cambria Math" w:hAnsi="Cambria Math"/>
                            <w:sz w:val="20"/>
                            <w:szCs w:val="20"/>
                          </w:rPr>
                          <m:t>exp</m:t>
                        </m:r>
                      </m:fName>
                      <m:e>
                        <m:d>
                          <m:dPr>
                            <m:ctrlPr>
                              <w:rPr>
                                <w:rFonts w:ascii="Cambria Math" w:hAnsi="Cambria Math"/>
                                <w:i/>
                                <w:sz w:val="20"/>
                                <w:szCs w:val="20"/>
                              </w:rPr>
                            </m:ctrlPr>
                          </m:dPr>
                          <m:e>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d</m:t>
                                </m:r>
                              </m:num>
                              <m:den>
                                <m:r>
                                  <w:rPr>
                                    <w:rFonts w:ascii="Cambria Math" w:hAnsi="Cambria Math"/>
                                    <w:sz w:val="20"/>
                                    <w:szCs w:val="20"/>
                                  </w:rPr>
                                  <m:t>k</m:t>
                                </m:r>
                              </m:den>
                            </m:f>
                          </m:e>
                        </m:d>
                      </m:e>
                    </m:func>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2</m:t>
                    </m:r>
                  </m:sub>
                </m:sSub>
                <m:r>
                  <w:rPr>
                    <w:rFonts w:ascii="Cambria Math" w:hAnsi="Cambria Math"/>
                    <w:sz w:val="20"/>
                    <w:szCs w:val="20"/>
                  </w:rPr>
                  <m:t>)</m:t>
                </m:r>
              </m:oMath>
            </m:oMathPara>
          </w:p>
        </w:tc>
        <w:tc>
          <w:tcPr>
            <w:tcW w:w="709" w:type="dxa"/>
            <w:vAlign w:val="center"/>
          </w:tcPr>
          <w:p w14:paraId="1B16ADE4" w14:textId="2BFF1677" w:rsidR="00FF0757" w:rsidRPr="00FF2549" w:rsidRDefault="00126825" w:rsidP="00836A91">
            <w:pPr>
              <w:jc w:val="center"/>
              <w:rPr>
                <w:sz w:val="20"/>
                <w:szCs w:val="20"/>
              </w:rPr>
            </w:pPr>
            <w:r>
              <w:rPr>
                <w:sz w:val="20"/>
                <w:szCs w:val="20"/>
              </w:rPr>
              <w:t>S.</w:t>
            </w:r>
            <w:r w:rsidR="00FF0757">
              <w:rPr>
                <w:sz w:val="20"/>
                <w:szCs w:val="20"/>
              </w:rPr>
              <w:t>4</w:t>
            </w:r>
          </w:p>
        </w:tc>
      </w:tr>
    </w:tbl>
    <w:p w14:paraId="0934B37F" w14:textId="1E8D3D57" w:rsidR="00FF0757" w:rsidRPr="00FF2549" w:rsidRDefault="00FF0757" w:rsidP="00FF0757">
      <w:pPr>
        <w:rPr>
          <w:sz w:val="20"/>
          <w:szCs w:val="20"/>
        </w:rPr>
      </w:pPr>
      <w:r w:rsidRPr="00FF2549">
        <w:rPr>
          <w:sz w:val="20"/>
          <w:szCs w:val="20"/>
        </w:rPr>
        <w:t xml:space="preserve">where d is the total depth of the soil, the sum of all soil layer depths. Equations </w:t>
      </w:r>
      <w:r w:rsidR="00126825">
        <w:rPr>
          <w:sz w:val="20"/>
          <w:szCs w:val="20"/>
        </w:rPr>
        <w:t>S.</w:t>
      </w:r>
      <w:r w:rsidRPr="00FF2549">
        <w:rPr>
          <w:sz w:val="20"/>
          <w:szCs w:val="20"/>
        </w:rPr>
        <w:t>2-</w:t>
      </w:r>
      <w:r w:rsidR="00126825">
        <w:rPr>
          <w:sz w:val="20"/>
          <w:szCs w:val="20"/>
        </w:rPr>
        <w:t>S.</w:t>
      </w:r>
      <w:r w:rsidRPr="00FF2549">
        <w:rPr>
          <w:sz w:val="20"/>
          <w:szCs w:val="20"/>
        </w:rPr>
        <w:t xml:space="preserve">4 can also be used to solve for the hydraulic conductivity in each soil layer (replace ϕ with </w:t>
      </w:r>
      <w:proofErr w:type="spellStart"/>
      <w:r w:rsidRPr="00FF2549">
        <w:rPr>
          <w:sz w:val="20"/>
          <w:szCs w:val="20"/>
        </w:rPr>
        <w:t>K</w:t>
      </w:r>
      <w:r w:rsidRPr="00FF2549">
        <w:rPr>
          <w:sz w:val="20"/>
          <w:szCs w:val="20"/>
          <w:vertAlign w:val="subscript"/>
        </w:rPr>
        <w:t>h</w:t>
      </w:r>
      <w:proofErr w:type="spellEnd"/>
      <w:r w:rsidRPr="00FF2549">
        <w:rPr>
          <w:sz w:val="20"/>
          <w:szCs w:val="20"/>
        </w:rPr>
        <w:t xml:space="preserve"> in each equation). The parameterization of </w:t>
      </w:r>
      <w:r w:rsidRPr="00FF2549">
        <w:rPr>
          <w:i/>
          <w:sz w:val="20"/>
          <w:szCs w:val="20"/>
        </w:rPr>
        <w:t>k</w:t>
      </w:r>
      <w:r w:rsidRPr="00FF2549">
        <w:rPr>
          <w:sz w:val="20"/>
          <w:szCs w:val="20"/>
        </w:rPr>
        <w:t xml:space="preserve"> for both the porosity and hydraulic conductivity with depth should be carefully chosen. Parameterization should always be checked to ensure that the porosity in layer 3 is greater than the residual soil moisture (</w:t>
      </w:r>
      <w:proofErr w:type="spellStart"/>
      <w:r w:rsidRPr="00FF2549">
        <w:rPr>
          <w:sz w:val="20"/>
          <w:szCs w:val="20"/>
        </w:rPr>
        <w:t>θ</w:t>
      </w:r>
      <w:r w:rsidRPr="00FF2549">
        <w:rPr>
          <w:sz w:val="20"/>
          <w:szCs w:val="20"/>
          <w:vertAlign w:val="subscript"/>
        </w:rPr>
        <w:t>r</w:t>
      </w:r>
      <w:proofErr w:type="spellEnd"/>
      <w:r w:rsidRPr="00FF2549">
        <w:rPr>
          <w:sz w:val="20"/>
          <w:szCs w:val="20"/>
        </w:rPr>
        <w:t>) and the permanent wilting point (</w:t>
      </w:r>
      <w:proofErr w:type="spellStart"/>
      <w:r w:rsidRPr="00FF2549">
        <w:rPr>
          <w:sz w:val="20"/>
          <w:szCs w:val="20"/>
        </w:rPr>
        <w:t>θ</w:t>
      </w:r>
      <w:r w:rsidRPr="00FF2549">
        <w:rPr>
          <w:sz w:val="20"/>
          <w:szCs w:val="20"/>
          <w:vertAlign w:val="subscript"/>
        </w:rPr>
        <w:t>w</w:t>
      </w:r>
      <w:proofErr w:type="spellEnd"/>
      <w:r w:rsidRPr="00FF2549">
        <w:rPr>
          <w:sz w:val="20"/>
          <w:szCs w:val="20"/>
        </w:rPr>
        <w:t>).</w:t>
      </w:r>
    </w:p>
    <w:p w14:paraId="223A262B" w14:textId="2CC8CFFA" w:rsidR="00FF0757" w:rsidRDefault="00FF0757" w:rsidP="00323FCD">
      <w:pPr>
        <w:rPr>
          <w:sz w:val="20"/>
          <w:szCs w:val="20"/>
        </w:rPr>
      </w:pPr>
    </w:p>
    <w:p w14:paraId="43DDCE8F" w14:textId="4A15730D" w:rsidR="00312C9E" w:rsidRPr="00FF2549" w:rsidRDefault="0059332D" w:rsidP="00312C9E">
      <w:pPr>
        <w:pStyle w:val="Heading2"/>
      </w:pPr>
      <w:r>
        <w:lastRenderedPageBreak/>
        <w:t>S</w:t>
      </w:r>
      <w:bookmarkStart w:id="0" w:name="_GoBack"/>
      <w:bookmarkEnd w:id="0"/>
      <w:r w:rsidR="00126825">
        <w:t>2.</w:t>
      </w:r>
      <w:r w:rsidR="00312C9E">
        <w:t xml:space="preserve"> Depth-dependent soil moisture</w:t>
      </w:r>
    </w:p>
    <w:p w14:paraId="18EA9F06" w14:textId="3D379671" w:rsidR="00A04CF3" w:rsidRDefault="00A04CF3" w:rsidP="00A04CF3">
      <w:pPr>
        <w:keepNext/>
      </w:pPr>
      <w:r>
        <w:rPr>
          <w:noProof/>
          <w:lang w:val="en-GB" w:eastAsia="en-GB"/>
        </w:rPr>
        <w:drawing>
          <wp:inline distT="0" distB="0" distL="0" distR="0" wp14:anchorId="189334C3" wp14:editId="76597059">
            <wp:extent cx="6362700" cy="5003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MC_fig.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62700" cy="5003800"/>
                    </a:xfrm>
                    <a:prstGeom prst="rect">
                      <a:avLst/>
                    </a:prstGeom>
                  </pic:spPr>
                </pic:pic>
              </a:graphicData>
            </a:graphic>
          </wp:inline>
        </w:drawing>
      </w:r>
    </w:p>
    <w:p w14:paraId="2EDF744D" w14:textId="034CE352" w:rsidR="00312C9E" w:rsidRDefault="00A04CF3" w:rsidP="00A04CF3">
      <w:pPr>
        <w:pStyle w:val="Caption"/>
        <w:rPr>
          <w:sz w:val="20"/>
          <w:szCs w:val="20"/>
        </w:rPr>
      </w:pPr>
      <w:r>
        <w:t xml:space="preserve">Figure </w:t>
      </w:r>
      <w:r w:rsidR="00126825">
        <w:t>S</w:t>
      </w:r>
      <w:r>
        <w:t xml:space="preserve">.1: Measured volumetric soil moisture at (a) S12 and (b) S22 for the soil depths up to 1 m from the soil surface. </w:t>
      </w:r>
    </w:p>
    <w:p w14:paraId="67F1E731" w14:textId="77777777" w:rsidR="00312C9E" w:rsidRPr="00FF2549" w:rsidRDefault="00312C9E" w:rsidP="00323FCD">
      <w:pPr>
        <w:rPr>
          <w:sz w:val="20"/>
          <w:szCs w:val="20"/>
        </w:rPr>
      </w:pPr>
    </w:p>
    <w:p w14:paraId="40EE8D8F" w14:textId="6DBE2C18" w:rsidR="00323FCD" w:rsidRPr="00FF2549" w:rsidRDefault="0059332D" w:rsidP="005F044E">
      <w:pPr>
        <w:pStyle w:val="Heading2"/>
      </w:pPr>
      <w:r>
        <w:t>S</w:t>
      </w:r>
      <w:r w:rsidR="00126825">
        <w:t>3.</w:t>
      </w:r>
      <w:r w:rsidR="009B0448">
        <w:t xml:space="preserve"> </w:t>
      </w:r>
      <w:r w:rsidR="00323FCD" w:rsidRPr="00FF2549">
        <w:t>Morris sensitivity analysis</w:t>
      </w:r>
    </w:p>
    <w:p w14:paraId="1AB96D89" w14:textId="6DAE565F" w:rsidR="00323FCD" w:rsidRPr="00FF2549" w:rsidRDefault="00AF59B1" w:rsidP="00323FCD">
      <w:pPr>
        <w:rPr>
          <w:sz w:val="20"/>
          <w:szCs w:val="20"/>
        </w:rPr>
      </w:pPr>
      <w:r w:rsidRPr="00FF2549">
        <w:rPr>
          <w:sz w:val="20"/>
          <w:szCs w:val="20"/>
        </w:rPr>
        <w:t>The aid with parameterization and reduce the total number of parameters used within calibration of the EcH</w:t>
      </w:r>
      <w:r w:rsidRPr="00FF2549">
        <w:rPr>
          <w:sz w:val="20"/>
          <w:szCs w:val="20"/>
          <w:vertAlign w:val="subscript"/>
        </w:rPr>
        <w:t>2</w:t>
      </w:r>
      <w:r w:rsidRPr="00FF2549">
        <w:rPr>
          <w:sz w:val="20"/>
          <w:szCs w:val="20"/>
        </w:rPr>
        <w:t xml:space="preserve">O-iso model, </w:t>
      </w:r>
      <w:r w:rsidR="00162C83" w:rsidRPr="00FF2549">
        <w:rPr>
          <w:sz w:val="20"/>
          <w:szCs w:val="20"/>
        </w:rPr>
        <w:t>a sensitivity analysis with the Morris Sensitivity method and mean absolute error was used to assess how sensitive the model parameters were to stream discharge, stream isotopes (δ</w:t>
      </w:r>
      <w:r w:rsidR="00162C83" w:rsidRPr="005B5DD6">
        <w:rPr>
          <w:sz w:val="20"/>
          <w:szCs w:val="20"/>
          <w:vertAlign w:val="superscript"/>
        </w:rPr>
        <w:t>2</w:t>
      </w:r>
      <w:r w:rsidR="00162C83" w:rsidRPr="00FF2549">
        <w:rPr>
          <w:sz w:val="20"/>
          <w:szCs w:val="20"/>
        </w:rPr>
        <w:t>H), and soil moisture (calibration time-series). Since the vegetation dynamics (carbon allocation mechanisms and vegetation growth) were not activated for the calibration</w:t>
      </w:r>
      <w:r w:rsidR="00890D0E" w:rsidRPr="00FF2549">
        <w:rPr>
          <w:sz w:val="20"/>
          <w:szCs w:val="20"/>
        </w:rPr>
        <w:t xml:space="preserve">, most vegetation parameters were not included in the sensitivity analysis as they would not result in any changes to observable metrics. These parameters include: leaf allocation parameters, canopy quantum efficiency parameters, cold </w:t>
      </w:r>
      <w:r w:rsidR="003631AC" w:rsidRPr="00FF2549">
        <w:rPr>
          <w:sz w:val="20"/>
          <w:szCs w:val="20"/>
        </w:rPr>
        <w:t>stress,</w:t>
      </w:r>
      <w:r w:rsidR="00890D0E" w:rsidRPr="00FF2549">
        <w:rPr>
          <w:sz w:val="20"/>
          <w:szCs w:val="20"/>
        </w:rPr>
        <w:t xml:space="preserve"> </w:t>
      </w:r>
      <w:r w:rsidR="003631AC" w:rsidRPr="00FF2549">
        <w:rPr>
          <w:sz w:val="20"/>
          <w:szCs w:val="20"/>
        </w:rPr>
        <w:t xml:space="preserve">and moisture stress leaf turnover parameters. Parameter sensitivity was assessed using the radial step method and 50 different trajectories. Initial parameterizations were established using Latin Hypercube Sampling (LHS) to maximize the distance between the randomized trajectories. Each radial step deviated from the initial parameterization by progressively changing each parameter by half of the parameters range. For example, initial parameter value of 0.1 with a range of 2 (0 – 2) results in a new parameter value of 1.1 </w:t>
      </w:r>
      <w:r w:rsidR="003631AC" w:rsidRPr="00FF2549">
        <w:rPr>
          <w:sz w:val="20"/>
          <w:szCs w:val="20"/>
        </w:rPr>
        <w:lastRenderedPageBreak/>
        <w:t>(</w:t>
      </w:r>
      <w:r w:rsidR="007C0ECC" w:rsidRPr="00FF2549">
        <w:rPr>
          <w:sz w:val="20"/>
          <w:szCs w:val="20"/>
        </w:rPr>
        <w:t>0.</w:t>
      </w:r>
      <w:r w:rsidR="003631AC" w:rsidRPr="00FF2549">
        <w:rPr>
          <w:sz w:val="20"/>
          <w:szCs w:val="20"/>
        </w:rPr>
        <w:t xml:space="preserve">1 + </w:t>
      </w:r>
      <w:r w:rsidR="007C0ECC" w:rsidRPr="00FF2549">
        <w:rPr>
          <w:sz w:val="20"/>
          <w:szCs w:val="20"/>
        </w:rPr>
        <w:t>(</w:t>
      </w:r>
      <w:r w:rsidR="003631AC" w:rsidRPr="00FF2549">
        <w:rPr>
          <w:sz w:val="20"/>
          <w:szCs w:val="20"/>
        </w:rPr>
        <w:t>2</w:t>
      </w:r>
      <w:r w:rsidR="007C0ECC" w:rsidRPr="00FF2549">
        <w:rPr>
          <w:sz w:val="20"/>
          <w:szCs w:val="20"/>
        </w:rPr>
        <w:t>-0)</w:t>
      </w:r>
      <w:r w:rsidR="003631AC" w:rsidRPr="00FF2549">
        <w:rPr>
          <w:sz w:val="20"/>
          <w:szCs w:val="20"/>
        </w:rPr>
        <w:t>/2)</w:t>
      </w:r>
      <w:r w:rsidR="007C0ECC" w:rsidRPr="00FF2549">
        <w:rPr>
          <w:sz w:val="20"/>
          <w:szCs w:val="20"/>
        </w:rPr>
        <w:t xml:space="preserve">. The sensitivity of the parameter was assessed against the original parameterization for the trajectory using the mean absolute error. </w:t>
      </w:r>
    </w:p>
    <w:p w14:paraId="6DC09F42" w14:textId="667AFDD6" w:rsidR="009B7C4A" w:rsidRDefault="001A7C99" w:rsidP="009B7C4A">
      <w:pPr>
        <w:keepNext/>
      </w:pPr>
      <w:r>
        <w:rPr>
          <w:noProof/>
          <w:lang w:val="en-GB" w:eastAsia="en-GB"/>
        </w:rPr>
        <w:drawing>
          <wp:inline distT="0" distB="0" distL="0" distR="0" wp14:anchorId="1768E7D7" wp14:editId="37193262">
            <wp:extent cx="6423660" cy="5405377"/>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ensitivity.png"/>
                    <pic:cNvPicPr/>
                  </pic:nvPicPr>
                  <pic:blipFill rotWithShape="1">
                    <a:blip r:embed="rId9" cstate="print">
                      <a:extLst>
                        <a:ext uri="{28A0092B-C50C-407E-A947-70E740481C1C}">
                          <a14:useLocalDpi xmlns:a14="http://schemas.microsoft.com/office/drawing/2010/main" val="0"/>
                        </a:ext>
                      </a:extLst>
                    </a:blip>
                    <a:srcRect t="6953" r="2422" b="7592"/>
                    <a:stretch/>
                  </pic:blipFill>
                  <pic:spPr bwMode="auto">
                    <a:xfrm>
                      <a:off x="0" y="0"/>
                      <a:ext cx="6424186" cy="5405820"/>
                    </a:xfrm>
                    <a:prstGeom prst="rect">
                      <a:avLst/>
                    </a:prstGeom>
                    <a:ln>
                      <a:noFill/>
                    </a:ln>
                    <a:extLst>
                      <a:ext uri="{53640926-AAD7-44D8-BBD7-CCE9431645EC}">
                        <a14:shadowObscured xmlns:a14="http://schemas.microsoft.com/office/drawing/2010/main"/>
                      </a:ext>
                    </a:extLst>
                  </pic:spPr>
                </pic:pic>
              </a:graphicData>
            </a:graphic>
          </wp:inline>
        </w:drawing>
      </w:r>
    </w:p>
    <w:p w14:paraId="56ABD84A" w14:textId="656686CE" w:rsidR="00323FCD" w:rsidRDefault="009B7C4A" w:rsidP="009B7C4A">
      <w:pPr>
        <w:pStyle w:val="Caption"/>
      </w:pPr>
      <w:r>
        <w:t xml:space="preserve">Figure </w:t>
      </w:r>
      <w:r w:rsidR="00126825">
        <w:t>S.2</w:t>
      </w:r>
      <w:r w:rsidR="007C0ECC">
        <w:t xml:space="preserve">.: Normalized mean absolute error for each time-series. Values of 1 indicate the most sensitive parameters and 0 indicates the least sensitive parameters. </w:t>
      </w:r>
      <w:r w:rsidR="00C911B4">
        <w:t xml:space="preserve">Additional information on the naming convention is found at </w:t>
      </w:r>
      <w:hyperlink r:id="rId10" w:history="1">
        <w:r w:rsidR="00C911B4" w:rsidRPr="009341FF">
          <w:rPr>
            <w:rStyle w:val="Hyperlink"/>
          </w:rPr>
          <w:t>https://ech2o-iso.readthedocs.io/en/latest/Setup.html</w:t>
        </w:r>
      </w:hyperlink>
      <w:r w:rsidR="00C911B4">
        <w:t xml:space="preserve"> </w:t>
      </w:r>
    </w:p>
    <w:p w14:paraId="61E6AC14" w14:textId="29A93A78" w:rsidR="00B65488" w:rsidRPr="005D0DB5" w:rsidRDefault="007C0ECC" w:rsidP="005B29EE">
      <w:pPr>
        <w:rPr>
          <w:sz w:val="22"/>
          <w:szCs w:val="22"/>
        </w:rPr>
      </w:pPr>
      <w:r w:rsidRPr="003607A8">
        <w:rPr>
          <w:sz w:val="20"/>
          <w:szCs w:val="20"/>
        </w:rPr>
        <w:t>Mean absolute error was averaged for all trajectories to determine the mean sensitivity of each parameter. For streamflow, the parameters most sensitive are a mixture of soil parameters (e.g. hydraulic conductivity</w:t>
      </w:r>
      <w:r w:rsidR="005777FC" w:rsidRPr="003607A8">
        <w:rPr>
          <w:sz w:val="20"/>
          <w:szCs w:val="20"/>
        </w:rPr>
        <w:t>, snowmelt coefficient,</w:t>
      </w:r>
      <w:r w:rsidRPr="003607A8">
        <w:rPr>
          <w:sz w:val="20"/>
          <w:szCs w:val="20"/>
        </w:rPr>
        <w:t xml:space="preserve"> and anisotropy), channel parameters (e.g. </w:t>
      </w:r>
      <w:proofErr w:type="spellStart"/>
      <w:r w:rsidR="00C3163A" w:rsidRPr="003607A8">
        <w:rPr>
          <w:sz w:val="20"/>
          <w:szCs w:val="20"/>
        </w:rPr>
        <w:t>M</w:t>
      </w:r>
      <w:r w:rsidRPr="003607A8">
        <w:rPr>
          <w:sz w:val="20"/>
          <w:szCs w:val="20"/>
        </w:rPr>
        <w:t>annings</w:t>
      </w:r>
      <w:proofErr w:type="spellEnd"/>
      <w:r w:rsidRPr="003607A8">
        <w:rPr>
          <w:sz w:val="20"/>
          <w:szCs w:val="20"/>
        </w:rPr>
        <w:t xml:space="preserve"> n and </w:t>
      </w:r>
      <w:proofErr w:type="spellStart"/>
      <w:r w:rsidR="005777FC" w:rsidRPr="003607A8">
        <w:rPr>
          <w:sz w:val="20"/>
          <w:szCs w:val="20"/>
        </w:rPr>
        <w:t>leakance</w:t>
      </w:r>
      <w:proofErr w:type="spellEnd"/>
      <w:r w:rsidR="005777FC" w:rsidRPr="003607A8">
        <w:rPr>
          <w:sz w:val="20"/>
          <w:szCs w:val="20"/>
        </w:rPr>
        <w:t xml:space="preserve">), and vegetation parameters (e.g. leaf area index and canopy water storage). Stream isotopes are similarly affected by soil and stream parameters, and show significant influence of the newly introduced snowmelt fractionation parameters (slope and </w:t>
      </w:r>
      <w:r w:rsidR="008A7F2E">
        <w:rPr>
          <w:sz w:val="20"/>
          <w:szCs w:val="20"/>
        </w:rPr>
        <w:t>amplification</w:t>
      </w:r>
      <w:r w:rsidR="005777FC" w:rsidRPr="003607A8">
        <w:rPr>
          <w:sz w:val="20"/>
          <w:szCs w:val="20"/>
        </w:rPr>
        <w:t xml:space="preserve"> parameters). As anticipated, soil moisture simulations are most sensitive to </w:t>
      </w:r>
      <w:r w:rsidR="00CC5C53" w:rsidRPr="003607A8">
        <w:rPr>
          <w:sz w:val="20"/>
          <w:szCs w:val="20"/>
        </w:rPr>
        <w:t xml:space="preserve">soil parameters, with the most sensitivity related to the porosity. </w:t>
      </w:r>
      <w:r w:rsidR="0064551A" w:rsidRPr="003607A8">
        <w:rPr>
          <w:sz w:val="20"/>
          <w:szCs w:val="20"/>
        </w:rPr>
        <w:t xml:space="preserve">The parameter sensitivity of frost depth was also tested due to the newly implemented frost module. The frost depth was most sensitive to the snow temperature damping parameter, with other sensitivity related to winter and thermal processes (snowmelt coefficient and soil thermal conductivity). </w:t>
      </w:r>
      <w:r w:rsidR="008D56E7" w:rsidRPr="003607A8">
        <w:rPr>
          <w:sz w:val="20"/>
          <w:szCs w:val="20"/>
        </w:rPr>
        <w:t xml:space="preserve">Since it is not possible to directly calibrate the soil water or streamflow water ages, the sensitivity analysis was evaluated to </w:t>
      </w:r>
      <w:r w:rsidR="008D56E7" w:rsidRPr="003607A8">
        <w:rPr>
          <w:sz w:val="20"/>
          <w:szCs w:val="20"/>
        </w:rPr>
        <w:lastRenderedPageBreak/>
        <w:t xml:space="preserve">provide additional assessment of which parameterizations will result in changes and uncertainties of the water ages. </w:t>
      </w:r>
      <w:r w:rsidR="005B29EE" w:rsidRPr="003607A8">
        <w:rPr>
          <w:sz w:val="20"/>
          <w:szCs w:val="20"/>
        </w:rPr>
        <w:t>Except for</w:t>
      </w:r>
      <w:r w:rsidR="00E04436" w:rsidRPr="003607A8">
        <w:rPr>
          <w:sz w:val="20"/>
          <w:szCs w:val="20"/>
        </w:rPr>
        <w:t xml:space="preserve"> the soil heat capacity (</w:t>
      </w:r>
      <w:r w:rsidR="005B29EE" w:rsidRPr="003607A8">
        <w:rPr>
          <w:sz w:val="20"/>
          <w:szCs w:val="20"/>
        </w:rPr>
        <w:t xml:space="preserve">set to </w:t>
      </w:r>
      <w:r w:rsidR="00E04436" w:rsidRPr="003607A8">
        <w:rPr>
          <w:sz w:val="20"/>
          <w:szCs w:val="20"/>
        </w:rPr>
        <w:t>2.205×10</w:t>
      </w:r>
      <w:r w:rsidR="00E04436" w:rsidRPr="003607A8">
        <w:rPr>
          <w:sz w:val="20"/>
          <w:szCs w:val="20"/>
          <w:vertAlign w:val="superscript"/>
        </w:rPr>
        <w:t>6</w:t>
      </w:r>
      <w:r w:rsidR="00E04436" w:rsidRPr="003607A8">
        <w:rPr>
          <w:sz w:val="20"/>
          <w:szCs w:val="20"/>
        </w:rPr>
        <w:t xml:space="preserve"> W kg</w:t>
      </w:r>
      <w:r w:rsidR="00E04436" w:rsidRPr="003607A8">
        <w:rPr>
          <w:sz w:val="20"/>
          <w:szCs w:val="20"/>
          <w:vertAlign w:val="superscript"/>
        </w:rPr>
        <w:t>-1</w:t>
      </w:r>
      <w:r w:rsidR="00E04436" w:rsidRPr="003607A8">
        <w:rPr>
          <w:sz w:val="20"/>
          <w:szCs w:val="20"/>
        </w:rPr>
        <w:t xml:space="preserve"> C</w:t>
      </w:r>
      <w:r w:rsidR="00E04436" w:rsidRPr="003607A8">
        <w:rPr>
          <w:sz w:val="20"/>
          <w:szCs w:val="20"/>
          <w:vertAlign w:val="superscript"/>
        </w:rPr>
        <w:t>-1</w:t>
      </w:r>
      <w:r w:rsidR="005B29EE" w:rsidRPr="003607A8">
        <w:rPr>
          <w:sz w:val="20"/>
          <w:szCs w:val="20"/>
        </w:rPr>
        <w:t>)</w:t>
      </w:r>
      <w:r w:rsidR="00E04436" w:rsidRPr="003607A8">
        <w:rPr>
          <w:sz w:val="20"/>
          <w:szCs w:val="20"/>
        </w:rPr>
        <w:t>, residual soil moisture (set to 0.05)</w:t>
      </w:r>
      <w:r w:rsidR="005B29EE" w:rsidRPr="003607A8">
        <w:rPr>
          <w:sz w:val="20"/>
          <w:szCs w:val="20"/>
        </w:rPr>
        <w:t>, and the temperature at the damping depth (set to 5</w:t>
      </w:r>
      <w:r w:rsidR="005B29EE" w:rsidRPr="003607A8">
        <w:rPr>
          <w:sz w:val="20"/>
          <w:szCs w:val="20"/>
          <w:vertAlign w:val="superscript"/>
        </w:rPr>
        <w:t>o</w:t>
      </w:r>
      <w:r w:rsidR="005B29EE" w:rsidRPr="003607A8">
        <w:rPr>
          <w:sz w:val="20"/>
          <w:szCs w:val="20"/>
        </w:rPr>
        <w:t xml:space="preserve">C), all other soil parameters (Fig </w:t>
      </w:r>
      <w:r w:rsidR="00126825">
        <w:rPr>
          <w:sz w:val="20"/>
          <w:szCs w:val="20"/>
        </w:rPr>
        <w:t>S.2</w:t>
      </w:r>
      <w:r w:rsidR="005B29EE" w:rsidRPr="003607A8">
        <w:rPr>
          <w:sz w:val="20"/>
          <w:szCs w:val="20"/>
        </w:rPr>
        <w:t xml:space="preserve">) were used in calibration since they showed to be sensitive for the calibration time-series. </w:t>
      </w:r>
      <w:r w:rsidR="00C3163A" w:rsidRPr="003607A8">
        <w:rPr>
          <w:sz w:val="20"/>
          <w:szCs w:val="20"/>
        </w:rPr>
        <w:t>Vegetation parameters used in calibration included the canopy water storage, leaf area index, maximum stomatal conductance (</w:t>
      </w:r>
      <w:proofErr w:type="spellStart"/>
      <w:r w:rsidR="00C3163A" w:rsidRPr="003607A8">
        <w:rPr>
          <w:sz w:val="20"/>
          <w:szCs w:val="20"/>
        </w:rPr>
        <w:t>G</w:t>
      </w:r>
      <w:r w:rsidR="00C3163A" w:rsidRPr="003607A8">
        <w:rPr>
          <w:sz w:val="20"/>
          <w:szCs w:val="20"/>
          <w:vertAlign w:val="subscript"/>
        </w:rPr>
        <w:t>s</w:t>
      </w:r>
      <w:proofErr w:type="gramStart"/>
      <w:r w:rsidR="00C3163A" w:rsidRPr="003607A8">
        <w:rPr>
          <w:sz w:val="20"/>
          <w:szCs w:val="20"/>
          <w:vertAlign w:val="subscript"/>
        </w:rPr>
        <w:t>,max</w:t>
      </w:r>
      <w:proofErr w:type="spellEnd"/>
      <w:proofErr w:type="gramEnd"/>
      <w:r w:rsidR="00C3163A" w:rsidRPr="003607A8">
        <w:rPr>
          <w:sz w:val="20"/>
          <w:szCs w:val="20"/>
        </w:rPr>
        <w:t xml:space="preserve">) and </w:t>
      </w:r>
      <w:r w:rsidR="00C3163A" w:rsidRPr="005D0DB5">
        <w:rPr>
          <w:sz w:val="20"/>
          <w:szCs w:val="20"/>
        </w:rPr>
        <w:t xml:space="preserve">two soil-based vegetation parameters controlling the sensitivity of vegetation to suction potential and </w:t>
      </w:r>
      <w:r w:rsidR="001167DC" w:rsidRPr="005D0DB5">
        <w:rPr>
          <w:sz w:val="20"/>
          <w:szCs w:val="20"/>
        </w:rPr>
        <w:t>moisture content.</w:t>
      </w:r>
    </w:p>
    <w:p w14:paraId="19957F94" w14:textId="0CC97D8A" w:rsidR="00323FCD" w:rsidRPr="005D0DB5" w:rsidRDefault="0059332D" w:rsidP="005F044E">
      <w:pPr>
        <w:pStyle w:val="Heading2"/>
      </w:pPr>
      <w:r>
        <w:t>S</w:t>
      </w:r>
      <w:r w:rsidR="00126825">
        <w:t>4.</w:t>
      </w:r>
      <w:r w:rsidR="009B0448">
        <w:t xml:space="preserve"> </w:t>
      </w:r>
      <w:r w:rsidR="00323FCD" w:rsidRPr="005D0DB5">
        <w:t>Model calibration parameters</w:t>
      </w:r>
    </w:p>
    <w:p w14:paraId="34A09451" w14:textId="6383BD70" w:rsidR="005B29EE" w:rsidRPr="003607A8" w:rsidRDefault="00934B4D" w:rsidP="005B29EE">
      <w:pPr>
        <w:rPr>
          <w:sz w:val="20"/>
          <w:szCs w:val="20"/>
        </w:rPr>
      </w:pPr>
      <w:r w:rsidRPr="003607A8">
        <w:rPr>
          <w:sz w:val="20"/>
          <w:szCs w:val="20"/>
        </w:rPr>
        <w:t>Model calibration showed a reduction in the parameter space for almost all parameters, where the maximum range of parameters is shown with the upper and lower bounds of the plots (</w:t>
      </w:r>
      <w:r w:rsidR="00CB305C">
        <w:rPr>
          <w:sz w:val="20"/>
          <w:szCs w:val="20"/>
        </w:rPr>
        <w:t>F</w:t>
      </w:r>
      <w:r w:rsidRPr="003607A8">
        <w:rPr>
          <w:sz w:val="20"/>
          <w:szCs w:val="20"/>
        </w:rPr>
        <w:t xml:space="preserve">ig </w:t>
      </w:r>
      <w:r w:rsidR="00126825">
        <w:rPr>
          <w:sz w:val="20"/>
          <w:szCs w:val="20"/>
        </w:rPr>
        <w:t>S.3</w:t>
      </w:r>
      <w:r w:rsidRPr="003607A8">
        <w:rPr>
          <w:sz w:val="20"/>
          <w:szCs w:val="20"/>
        </w:rPr>
        <w:t>). Differences between parameterization of soils was most noticeable for anisotropy, hydraulic conductivity (</w:t>
      </w:r>
      <w:proofErr w:type="spellStart"/>
      <w:r w:rsidRPr="003607A8">
        <w:rPr>
          <w:sz w:val="20"/>
          <w:szCs w:val="20"/>
        </w:rPr>
        <w:t>K</w:t>
      </w:r>
      <w:r w:rsidRPr="003607A8">
        <w:rPr>
          <w:sz w:val="20"/>
          <w:szCs w:val="20"/>
          <w:vertAlign w:val="subscript"/>
        </w:rPr>
        <w:t>h</w:t>
      </w:r>
      <w:proofErr w:type="spellEnd"/>
      <w:r w:rsidRPr="003607A8">
        <w:rPr>
          <w:sz w:val="20"/>
          <w:szCs w:val="20"/>
        </w:rPr>
        <w:t>) and porosity (</w:t>
      </w:r>
      <w:r w:rsidRPr="003607A8">
        <w:rPr>
          <w:i/>
          <w:sz w:val="20"/>
          <w:szCs w:val="20"/>
        </w:rPr>
        <w:t>ϕ</w:t>
      </w:r>
      <w:r w:rsidRPr="003607A8">
        <w:rPr>
          <w:sz w:val="20"/>
          <w:szCs w:val="20"/>
        </w:rPr>
        <w:t>), while for vegetation, canopy storage, maximum stomatal conductance (</w:t>
      </w:r>
      <w:proofErr w:type="spellStart"/>
      <w:r w:rsidRPr="003607A8">
        <w:rPr>
          <w:sz w:val="20"/>
          <w:szCs w:val="20"/>
        </w:rPr>
        <w:t>G</w:t>
      </w:r>
      <w:r w:rsidRPr="003607A8">
        <w:rPr>
          <w:sz w:val="20"/>
          <w:szCs w:val="20"/>
          <w:vertAlign w:val="subscript"/>
        </w:rPr>
        <w:t>s,max</w:t>
      </w:r>
      <w:proofErr w:type="spellEnd"/>
      <w:r w:rsidRPr="003607A8">
        <w:rPr>
          <w:sz w:val="20"/>
          <w:szCs w:val="20"/>
        </w:rPr>
        <w:t>) and leaf area index (LAI) varied most between the vegetation types.</w:t>
      </w:r>
    </w:p>
    <w:p w14:paraId="29013D4C" w14:textId="1825ABEE" w:rsidR="004F1DAA" w:rsidRDefault="001A7C99" w:rsidP="004F1DAA">
      <w:pPr>
        <w:keepNext/>
      </w:pPr>
      <w:r>
        <w:rPr>
          <w:noProof/>
          <w:lang w:val="en-GB" w:eastAsia="en-GB"/>
        </w:rPr>
        <w:drawing>
          <wp:inline distT="0" distB="0" distL="0" distR="0" wp14:anchorId="78417631" wp14:editId="26140ED9">
            <wp:extent cx="4871365" cy="5613722"/>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l_Par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74794" cy="5617674"/>
                    </a:xfrm>
                    <a:prstGeom prst="rect">
                      <a:avLst/>
                    </a:prstGeom>
                  </pic:spPr>
                </pic:pic>
              </a:graphicData>
            </a:graphic>
          </wp:inline>
        </w:drawing>
      </w:r>
    </w:p>
    <w:p w14:paraId="174C0B70" w14:textId="562F6E1C" w:rsidR="00323FCD" w:rsidRPr="00060B1B" w:rsidRDefault="004F1DAA" w:rsidP="004F1DAA">
      <w:pPr>
        <w:pStyle w:val="Caption"/>
      </w:pPr>
      <w:r>
        <w:t xml:space="preserve">Figure </w:t>
      </w:r>
      <w:r w:rsidR="00126825">
        <w:t>S.3</w:t>
      </w:r>
      <w:r>
        <w:t xml:space="preserve">: Calibration parameterization for soil and vegetation parameters for each soil and vegetation type. Lines represent the </w:t>
      </w:r>
      <w:r w:rsidR="00934B4D">
        <w:t>25-75</w:t>
      </w:r>
      <w:r w:rsidR="00934B4D" w:rsidRPr="00934B4D">
        <w:rPr>
          <w:vertAlign w:val="superscript"/>
        </w:rPr>
        <w:t>th</w:t>
      </w:r>
      <w:r w:rsidR="00934B4D">
        <w:t xml:space="preserve"> quantiles and circles are outliers for the quartiles. </w:t>
      </w:r>
    </w:p>
    <w:p w14:paraId="7A4F5D0E" w14:textId="5742CCF8" w:rsidR="00323FCD" w:rsidRPr="005D0DB5" w:rsidRDefault="0059332D" w:rsidP="005F044E">
      <w:pPr>
        <w:pStyle w:val="Heading2"/>
      </w:pPr>
      <w:r>
        <w:lastRenderedPageBreak/>
        <w:t>S</w:t>
      </w:r>
      <w:r w:rsidR="00126825">
        <w:t>5.</w:t>
      </w:r>
      <w:r w:rsidR="009B0448">
        <w:t xml:space="preserve"> </w:t>
      </w:r>
      <w:r w:rsidR="00323FCD" w:rsidRPr="005D0DB5">
        <w:t>Simulated layer depth vs. stream water ages</w:t>
      </w:r>
    </w:p>
    <w:p w14:paraId="4CBF209A" w14:textId="1F169E26" w:rsidR="001167DC" w:rsidRPr="005D0DB5" w:rsidRDefault="001167DC" w:rsidP="001167DC">
      <w:pPr>
        <w:rPr>
          <w:sz w:val="20"/>
          <w:szCs w:val="20"/>
        </w:rPr>
      </w:pPr>
      <w:r w:rsidRPr="005D0DB5">
        <w:rPr>
          <w:sz w:val="20"/>
          <w:szCs w:val="20"/>
        </w:rPr>
        <w:t xml:space="preserve">Stream water ages were expected to predominantly controlled by the depth of the third soil layer in each of the soil types (Fig </w:t>
      </w:r>
      <w:r w:rsidR="00126825">
        <w:rPr>
          <w:sz w:val="20"/>
          <w:szCs w:val="20"/>
        </w:rPr>
        <w:t>S.2</w:t>
      </w:r>
      <w:r w:rsidRPr="005D0DB5">
        <w:rPr>
          <w:sz w:val="20"/>
          <w:szCs w:val="20"/>
        </w:rPr>
        <w:t xml:space="preserve">). The relatively old stream water ages observed within the simulations were on the upper end of the previously simulated water ages, with median ages of ~3 years for all streams. A direct correlation was observed for each stream to the depth of the dominant soil type of the sub-catchment. The overall catchment outlet (C7) was dominated by podzolic soils, and showed a strong (0.82 correlation coefficient) 1:1 relationship with a regression of the stream water age to the depth of the soil water (1 year of stream age for each meter of soil depth) (Fig </w:t>
      </w:r>
      <w:r w:rsidR="00126825">
        <w:rPr>
          <w:sz w:val="20"/>
          <w:szCs w:val="20"/>
        </w:rPr>
        <w:t>S.4</w:t>
      </w:r>
      <w:r w:rsidRPr="005D0DB5">
        <w:rPr>
          <w:sz w:val="20"/>
          <w:szCs w:val="20"/>
        </w:rPr>
        <w:t xml:space="preserve">). A similar, stronger, 1:1 relationship of stream water age to soil depth was observed at the outlet of sub-catchment C2, which was also dominated by podzolic soils (Fig </w:t>
      </w:r>
      <w:r w:rsidR="00126825">
        <w:rPr>
          <w:sz w:val="20"/>
          <w:szCs w:val="20"/>
        </w:rPr>
        <w:t>S.4</w:t>
      </w:r>
      <w:r w:rsidRPr="005D0DB5">
        <w:rPr>
          <w:sz w:val="20"/>
          <w:szCs w:val="20"/>
        </w:rPr>
        <w:t xml:space="preserve">). Unsurprisingly, in the peat </w:t>
      </w:r>
      <w:r w:rsidR="008F1F9A" w:rsidRPr="005D0DB5">
        <w:rPr>
          <w:sz w:val="20"/>
          <w:szCs w:val="20"/>
        </w:rPr>
        <w:t>dominated</w:t>
      </w:r>
      <w:r w:rsidRPr="005D0DB5">
        <w:rPr>
          <w:sz w:val="20"/>
          <w:szCs w:val="20"/>
        </w:rPr>
        <w:t xml:space="preserve"> C4 catchment, a strong relationship (0.86 correlation coefficient) was observed between the peat soil depth and stream water age; however, the stream water became older </w:t>
      </w:r>
      <w:r w:rsidR="008F1F9A" w:rsidRPr="005D0DB5">
        <w:rPr>
          <w:sz w:val="20"/>
          <w:szCs w:val="20"/>
        </w:rPr>
        <w:t xml:space="preserve">with soil depth than in the podzolic soil dominated catchments. </w:t>
      </w:r>
    </w:p>
    <w:p w14:paraId="51B1D447" w14:textId="77777777" w:rsidR="00323FCD" w:rsidRPr="00060B1B" w:rsidRDefault="00323FCD" w:rsidP="00323FCD">
      <w:pPr>
        <w:keepNext/>
      </w:pPr>
      <w:r w:rsidRPr="00060B1B">
        <w:rPr>
          <w:noProof/>
          <w:lang w:val="en-GB" w:eastAsia="en-GB"/>
        </w:rPr>
        <w:drawing>
          <wp:inline distT="0" distB="0" distL="0" distR="0" wp14:anchorId="6B5C811B" wp14:editId="032585A8">
            <wp:extent cx="5738678" cy="4007485"/>
            <wp:effectExtent l="0" t="0" r="1905"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epth_Water_Age.png"/>
                    <pic:cNvPicPr/>
                  </pic:nvPicPr>
                  <pic:blipFill rotWithShape="1">
                    <a:blip r:embed="rId12" cstate="print">
                      <a:extLst>
                        <a:ext uri="{28A0092B-C50C-407E-A947-70E740481C1C}">
                          <a14:useLocalDpi xmlns:a14="http://schemas.microsoft.com/office/drawing/2010/main" val="0"/>
                        </a:ext>
                      </a:extLst>
                    </a:blip>
                    <a:srcRect l="3695" t="8231" r="9119" b="2508"/>
                    <a:stretch/>
                  </pic:blipFill>
                  <pic:spPr bwMode="auto">
                    <a:xfrm>
                      <a:off x="0" y="0"/>
                      <a:ext cx="5740064" cy="4008453"/>
                    </a:xfrm>
                    <a:prstGeom prst="rect">
                      <a:avLst/>
                    </a:prstGeom>
                    <a:ln>
                      <a:noFill/>
                    </a:ln>
                    <a:extLst>
                      <a:ext uri="{53640926-AAD7-44D8-BBD7-CCE9431645EC}">
                        <a14:shadowObscured xmlns:a14="http://schemas.microsoft.com/office/drawing/2010/main"/>
                      </a:ext>
                    </a:extLst>
                  </pic:spPr>
                </pic:pic>
              </a:graphicData>
            </a:graphic>
          </wp:inline>
        </w:drawing>
      </w:r>
    </w:p>
    <w:p w14:paraId="65BB2449" w14:textId="262D3D5D" w:rsidR="009B7C4A" w:rsidRDefault="00323FCD" w:rsidP="00FF0757">
      <w:pPr>
        <w:pStyle w:val="Caption"/>
      </w:pPr>
      <w:r w:rsidRPr="00060B1B">
        <w:t xml:space="preserve">Figure </w:t>
      </w:r>
      <w:r w:rsidR="00126825">
        <w:rPr>
          <w:noProof/>
        </w:rPr>
        <w:t>S.4</w:t>
      </w:r>
      <w:r w:rsidRPr="00060B1B">
        <w:t>:</w:t>
      </w:r>
      <w:r w:rsidR="008F1F9A">
        <w:t xml:space="preserve"> Linear regression and correlation coefficients for stream water age at each sub-catchment against the soil depth </w:t>
      </w:r>
    </w:p>
    <w:sectPr w:rsidR="009B7C4A" w:rsidSect="003631AC">
      <w:footerReference w:type="even" r:id="rId13"/>
      <w:footerReference w:type="default" r:id="rId14"/>
      <w:pgSz w:w="12240" w:h="15840"/>
      <w:pgMar w:top="1183" w:right="936" w:bottom="1338" w:left="936" w:header="708" w:footer="708" w:gutter="0"/>
      <w:lnNumType w:countBy="1"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7CBB2A" w14:textId="77777777" w:rsidR="00D12168" w:rsidRDefault="00D12168" w:rsidP="004953B0">
      <w:pPr>
        <w:spacing w:line="240" w:lineRule="auto"/>
      </w:pPr>
      <w:r>
        <w:separator/>
      </w:r>
    </w:p>
  </w:endnote>
  <w:endnote w:type="continuationSeparator" w:id="0">
    <w:p w14:paraId="612E268B" w14:textId="77777777" w:rsidR="00D12168" w:rsidRDefault="00D12168" w:rsidP="004953B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w:altName w:val="Times New Roman"/>
    <w:charset w:val="00"/>
    <w:family w:val="roman"/>
    <w:pitch w:val="variable"/>
    <w:sig w:usb0="00000000"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1096522177"/>
      <w:docPartObj>
        <w:docPartGallery w:val="Page Numbers (Bottom of Page)"/>
        <w:docPartUnique/>
      </w:docPartObj>
    </w:sdtPr>
    <w:sdtEndPr>
      <w:rPr>
        <w:rStyle w:val="PageNumber"/>
      </w:rPr>
    </w:sdtEndPr>
    <w:sdtContent>
      <w:p w14:paraId="59C5AA9D" w14:textId="1D59FF90" w:rsidR="004953B0" w:rsidRDefault="004953B0" w:rsidP="00CC687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2678E2B" w14:textId="77777777" w:rsidR="004953B0" w:rsidRDefault="004953B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PageNumber"/>
      </w:rPr>
      <w:id w:val="-1192750172"/>
      <w:docPartObj>
        <w:docPartGallery w:val="Page Numbers (Bottom of Page)"/>
        <w:docPartUnique/>
      </w:docPartObj>
    </w:sdtPr>
    <w:sdtEndPr>
      <w:rPr>
        <w:rStyle w:val="PageNumber"/>
      </w:rPr>
    </w:sdtEndPr>
    <w:sdtContent>
      <w:p w14:paraId="1A8EDEA7" w14:textId="2B2A46E0" w:rsidR="004953B0" w:rsidRDefault="004953B0" w:rsidP="00CC687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59332D">
          <w:rPr>
            <w:rStyle w:val="PageNumber"/>
            <w:noProof/>
          </w:rPr>
          <w:t>5</w:t>
        </w:r>
        <w:r>
          <w:rPr>
            <w:rStyle w:val="PageNumber"/>
          </w:rPr>
          <w:fldChar w:fldCharType="end"/>
        </w:r>
      </w:p>
    </w:sdtContent>
  </w:sdt>
  <w:p w14:paraId="6530C1FC" w14:textId="77777777" w:rsidR="004953B0" w:rsidRDefault="004953B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0E1E10" w14:textId="77777777" w:rsidR="00D12168" w:rsidRDefault="00D12168" w:rsidP="004953B0">
      <w:pPr>
        <w:spacing w:line="240" w:lineRule="auto"/>
      </w:pPr>
      <w:r>
        <w:separator/>
      </w:r>
    </w:p>
  </w:footnote>
  <w:footnote w:type="continuationSeparator" w:id="0">
    <w:p w14:paraId="243D00C0" w14:textId="77777777" w:rsidR="00D12168" w:rsidRDefault="00D12168" w:rsidP="004953B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607088"/>
    <w:multiLevelType w:val="multilevel"/>
    <w:tmpl w:val="E7C2A18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6F4153C2"/>
    <w:multiLevelType w:val="hybridMultilevel"/>
    <w:tmpl w:val="09EC0D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3FCD"/>
    <w:rsid w:val="00060B1B"/>
    <w:rsid w:val="001167DC"/>
    <w:rsid w:val="00126825"/>
    <w:rsid w:val="00162C83"/>
    <w:rsid w:val="00174DBF"/>
    <w:rsid w:val="001902E4"/>
    <w:rsid w:val="001A3D13"/>
    <w:rsid w:val="001A7C99"/>
    <w:rsid w:val="001F2490"/>
    <w:rsid w:val="00203F75"/>
    <w:rsid w:val="00224337"/>
    <w:rsid w:val="00235B81"/>
    <w:rsid w:val="00292E38"/>
    <w:rsid w:val="002E5776"/>
    <w:rsid w:val="002F74C8"/>
    <w:rsid w:val="00312C9E"/>
    <w:rsid w:val="00323FCD"/>
    <w:rsid w:val="003607A8"/>
    <w:rsid w:val="003631AC"/>
    <w:rsid w:val="003B243F"/>
    <w:rsid w:val="003E0C5B"/>
    <w:rsid w:val="004953B0"/>
    <w:rsid w:val="004F1DAA"/>
    <w:rsid w:val="00511FC1"/>
    <w:rsid w:val="005777FC"/>
    <w:rsid w:val="00581E13"/>
    <w:rsid w:val="0059332D"/>
    <w:rsid w:val="005B29EE"/>
    <w:rsid w:val="005B5DD6"/>
    <w:rsid w:val="005D0DB5"/>
    <w:rsid w:val="005D5067"/>
    <w:rsid w:val="005F044E"/>
    <w:rsid w:val="005F1BE8"/>
    <w:rsid w:val="00625387"/>
    <w:rsid w:val="0064551A"/>
    <w:rsid w:val="00767F5A"/>
    <w:rsid w:val="007C0ECC"/>
    <w:rsid w:val="00811B87"/>
    <w:rsid w:val="0082197F"/>
    <w:rsid w:val="00824CF1"/>
    <w:rsid w:val="00890D0E"/>
    <w:rsid w:val="008A0A16"/>
    <w:rsid w:val="008A7F2E"/>
    <w:rsid w:val="008D56E7"/>
    <w:rsid w:val="008E293D"/>
    <w:rsid w:val="008F1F9A"/>
    <w:rsid w:val="008F7C85"/>
    <w:rsid w:val="00934B4D"/>
    <w:rsid w:val="00973F93"/>
    <w:rsid w:val="00986215"/>
    <w:rsid w:val="009B0448"/>
    <w:rsid w:val="009B7C4A"/>
    <w:rsid w:val="00A04CF3"/>
    <w:rsid w:val="00A247F8"/>
    <w:rsid w:val="00A5047C"/>
    <w:rsid w:val="00AF59B1"/>
    <w:rsid w:val="00B65488"/>
    <w:rsid w:val="00BF62BF"/>
    <w:rsid w:val="00C3163A"/>
    <w:rsid w:val="00C36059"/>
    <w:rsid w:val="00C911B4"/>
    <w:rsid w:val="00CB305C"/>
    <w:rsid w:val="00CC5C53"/>
    <w:rsid w:val="00D12168"/>
    <w:rsid w:val="00D817D5"/>
    <w:rsid w:val="00E04436"/>
    <w:rsid w:val="00E3585F"/>
    <w:rsid w:val="00E50851"/>
    <w:rsid w:val="00E66DC2"/>
    <w:rsid w:val="00F33AE0"/>
    <w:rsid w:val="00F53D63"/>
    <w:rsid w:val="00F84B10"/>
    <w:rsid w:val="00FB4F8F"/>
    <w:rsid w:val="00FF0757"/>
    <w:rsid w:val="00FF254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9CC5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1BE8"/>
    <w:pPr>
      <w:spacing w:line="360" w:lineRule="auto"/>
    </w:pPr>
    <w:rPr>
      <w:rFonts w:ascii="Times New Roman" w:hAnsi="Times New Roman"/>
    </w:rPr>
  </w:style>
  <w:style w:type="paragraph" w:styleId="Heading1">
    <w:name w:val="heading 1"/>
    <w:basedOn w:val="Normal"/>
    <w:next w:val="Normal"/>
    <w:link w:val="Heading1Char"/>
    <w:autoRedefine/>
    <w:uiPriority w:val="9"/>
    <w:qFormat/>
    <w:rsid w:val="00F84B10"/>
    <w:pPr>
      <w:keepNext/>
      <w:keepLines/>
      <w:spacing w:before="240"/>
      <w:outlineLvl w:val="0"/>
    </w:pPr>
    <w:rPr>
      <w:rFonts w:eastAsiaTheme="majorEastAsia" w:cstheme="majorBidi"/>
      <w:b/>
      <w:color w:val="000000" w:themeColor="text1"/>
      <w:sz w:val="28"/>
      <w:szCs w:val="32"/>
    </w:rPr>
  </w:style>
  <w:style w:type="paragraph" w:styleId="Heading2">
    <w:name w:val="heading 2"/>
    <w:basedOn w:val="Normal"/>
    <w:next w:val="Normal"/>
    <w:link w:val="Heading2Char"/>
    <w:autoRedefine/>
    <w:uiPriority w:val="9"/>
    <w:unhideWhenUsed/>
    <w:qFormat/>
    <w:rsid w:val="005F044E"/>
    <w:pPr>
      <w:keepNext/>
      <w:keepLines/>
      <w:spacing w:before="40"/>
      <w:outlineLvl w:val="1"/>
    </w:pPr>
    <w:rPr>
      <w:rFonts w:ascii="Times New" w:eastAsiaTheme="majorEastAsia" w:hAnsi="Times New" w:cstheme="majorBidi"/>
      <w:b/>
      <w:i/>
      <w:color w:val="000000" w:themeColor="tex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4B10"/>
    <w:rPr>
      <w:rFonts w:ascii="Times New Roman" w:eastAsiaTheme="majorEastAsia" w:hAnsi="Times New Roman" w:cstheme="majorBidi"/>
      <w:b/>
      <w:color w:val="000000" w:themeColor="text1"/>
      <w:sz w:val="28"/>
      <w:szCs w:val="32"/>
    </w:rPr>
  </w:style>
  <w:style w:type="character" w:customStyle="1" w:styleId="Heading2Char">
    <w:name w:val="Heading 2 Char"/>
    <w:basedOn w:val="DefaultParagraphFont"/>
    <w:link w:val="Heading2"/>
    <w:uiPriority w:val="9"/>
    <w:rsid w:val="005F044E"/>
    <w:rPr>
      <w:rFonts w:ascii="Times New" w:eastAsiaTheme="majorEastAsia" w:hAnsi="Times New" w:cstheme="majorBidi"/>
      <w:b/>
      <w:i/>
      <w:color w:val="000000" w:themeColor="text1"/>
      <w:sz w:val="22"/>
      <w:szCs w:val="22"/>
    </w:rPr>
  </w:style>
  <w:style w:type="paragraph" w:styleId="Title">
    <w:name w:val="Title"/>
    <w:basedOn w:val="Normal"/>
    <w:next w:val="Normal"/>
    <w:link w:val="TitleChar"/>
    <w:autoRedefine/>
    <w:uiPriority w:val="10"/>
    <w:qFormat/>
    <w:rsid w:val="00F84B10"/>
    <w:pPr>
      <w:contextualSpacing/>
    </w:pPr>
    <w:rPr>
      <w:rFonts w:eastAsiaTheme="majorEastAsia" w:cstheme="majorBidi"/>
      <w:b/>
      <w:spacing w:val="-10"/>
      <w:kern w:val="28"/>
      <w:sz w:val="32"/>
      <w:szCs w:val="56"/>
    </w:rPr>
  </w:style>
  <w:style w:type="character" w:customStyle="1" w:styleId="TitleChar">
    <w:name w:val="Title Char"/>
    <w:basedOn w:val="DefaultParagraphFont"/>
    <w:link w:val="Title"/>
    <w:uiPriority w:val="10"/>
    <w:rsid w:val="00F84B10"/>
    <w:rPr>
      <w:rFonts w:ascii="Times New Roman" w:eastAsiaTheme="majorEastAsia" w:hAnsi="Times New Roman" w:cstheme="majorBidi"/>
      <w:b/>
      <w:spacing w:val="-10"/>
      <w:kern w:val="28"/>
      <w:sz w:val="32"/>
      <w:szCs w:val="56"/>
    </w:rPr>
  </w:style>
  <w:style w:type="paragraph" w:styleId="Caption">
    <w:name w:val="caption"/>
    <w:basedOn w:val="Normal"/>
    <w:next w:val="Normal"/>
    <w:uiPriority w:val="35"/>
    <w:unhideWhenUsed/>
    <w:qFormat/>
    <w:rsid w:val="00323FCD"/>
    <w:pPr>
      <w:spacing w:after="200" w:line="240" w:lineRule="auto"/>
    </w:pPr>
    <w:rPr>
      <w:b/>
      <w:iCs/>
      <w:color w:val="000000" w:themeColor="text1"/>
      <w:sz w:val="18"/>
      <w:szCs w:val="18"/>
    </w:rPr>
  </w:style>
  <w:style w:type="table" w:styleId="TableGrid">
    <w:name w:val="Table Grid"/>
    <w:basedOn w:val="TableNormal"/>
    <w:uiPriority w:val="39"/>
    <w:rsid w:val="00323F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23FCD"/>
    <w:pPr>
      <w:ind w:left="720"/>
      <w:contextualSpacing/>
    </w:pPr>
  </w:style>
  <w:style w:type="character" w:styleId="LineNumber">
    <w:name w:val="line number"/>
    <w:basedOn w:val="DefaultParagraphFont"/>
    <w:uiPriority w:val="99"/>
    <w:semiHidden/>
    <w:unhideWhenUsed/>
    <w:rsid w:val="00323FCD"/>
  </w:style>
  <w:style w:type="character" w:styleId="PlaceholderText">
    <w:name w:val="Placeholder Text"/>
    <w:basedOn w:val="DefaultParagraphFont"/>
    <w:uiPriority w:val="99"/>
    <w:semiHidden/>
    <w:rsid w:val="001F2490"/>
    <w:rPr>
      <w:color w:val="808080"/>
    </w:rPr>
  </w:style>
  <w:style w:type="paragraph" w:styleId="Footer">
    <w:name w:val="footer"/>
    <w:basedOn w:val="Normal"/>
    <w:link w:val="FooterChar"/>
    <w:uiPriority w:val="99"/>
    <w:unhideWhenUsed/>
    <w:rsid w:val="004953B0"/>
    <w:pPr>
      <w:tabs>
        <w:tab w:val="center" w:pos="4680"/>
        <w:tab w:val="right" w:pos="9360"/>
      </w:tabs>
      <w:spacing w:line="240" w:lineRule="auto"/>
    </w:pPr>
  </w:style>
  <w:style w:type="character" w:customStyle="1" w:styleId="FooterChar">
    <w:name w:val="Footer Char"/>
    <w:basedOn w:val="DefaultParagraphFont"/>
    <w:link w:val="Footer"/>
    <w:uiPriority w:val="99"/>
    <w:rsid w:val="004953B0"/>
    <w:rPr>
      <w:rFonts w:ascii="Times New Roman" w:hAnsi="Times New Roman"/>
    </w:rPr>
  </w:style>
  <w:style w:type="character" w:styleId="PageNumber">
    <w:name w:val="page number"/>
    <w:basedOn w:val="DefaultParagraphFont"/>
    <w:uiPriority w:val="99"/>
    <w:semiHidden/>
    <w:unhideWhenUsed/>
    <w:rsid w:val="004953B0"/>
  </w:style>
  <w:style w:type="character" w:styleId="Hyperlink">
    <w:name w:val="Hyperlink"/>
    <w:basedOn w:val="DefaultParagraphFont"/>
    <w:uiPriority w:val="99"/>
    <w:unhideWhenUsed/>
    <w:rsid w:val="00C911B4"/>
    <w:rPr>
      <w:color w:val="0563C1" w:themeColor="hyperlink"/>
      <w:u w:val="single"/>
    </w:rPr>
  </w:style>
  <w:style w:type="character" w:customStyle="1" w:styleId="UnresolvedMention">
    <w:name w:val="Unresolved Mention"/>
    <w:basedOn w:val="DefaultParagraphFont"/>
    <w:uiPriority w:val="99"/>
    <w:semiHidden/>
    <w:unhideWhenUsed/>
    <w:rsid w:val="00C911B4"/>
    <w:rPr>
      <w:color w:val="605E5C"/>
      <w:shd w:val="clear" w:color="auto" w:fill="E1DFDD"/>
    </w:rPr>
  </w:style>
  <w:style w:type="paragraph" w:styleId="BalloonText">
    <w:name w:val="Balloon Text"/>
    <w:basedOn w:val="Normal"/>
    <w:link w:val="BalloonTextChar"/>
    <w:uiPriority w:val="99"/>
    <w:semiHidden/>
    <w:unhideWhenUsed/>
    <w:rsid w:val="005B5DD6"/>
    <w:pPr>
      <w:spacing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5B5DD6"/>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1BE8"/>
    <w:pPr>
      <w:spacing w:line="360" w:lineRule="auto"/>
    </w:pPr>
    <w:rPr>
      <w:rFonts w:ascii="Times New Roman" w:hAnsi="Times New Roman"/>
    </w:rPr>
  </w:style>
  <w:style w:type="paragraph" w:styleId="Heading1">
    <w:name w:val="heading 1"/>
    <w:basedOn w:val="Normal"/>
    <w:next w:val="Normal"/>
    <w:link w:val="Heading1Char"/>
    <w:autoRedefine/>
    <w:uiPriority w:val="9"/>
    <w:qFormat/>
    <w:rsid w:val="00F84B10"/>
    <w:pPr>
      <w:keepNext/>
      <w:keepLines/>
      <w:spacing w:before="240"/>
      <w:outlineLvl w:val="0"/>
    </w:pPr>
    <w:rPr>
      <w:rFonts w:eastAsiaTheme="majorEastAsia" w:cstheme="majorBidi"/>
      <w:b/>
      <w:color w:val="000000" w:themeColor="text1"/>
      <w:sz w:val="28"/>
      <w:szCs w:val="32"/>
    </w:rPr>
  </w:style>
  <w:style w:type="paragraph" w:styleId="Heading2">
    <w:name w:val="heading 2"/>
    <w:basedOn w:val="Normal"/>
    <w:next w:val="Normal"/>
    <w:link w:val="Heading2Char"/>
    <w:autoRedefine/>
    <w:uiPriority w:val="9"/>
    <w:unhideWhenUsed/>
    <w:qFormat/>
    <w:rsid w:val="005F044E"/>
    <w:pPr>
      <w:keepNext/>
      <w:keepLines/>
      <w:spacing w:before="40"/>
      <w:outlineLvl w:val="1"/>
    </w:pPr>
    <w:rPr>
      <w:rFonts w:ascii="Times New" w:eastAsiaTheme="majorEastAsia" w:hAnsi="Times New" w:cstheme="majorBidi"/>
      <w:b/>
      <w:i/>
      <w:color w:val="000000" w:themeColor="tex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4B10"/>
    <w:rPr>
      <w:rFonts w:ascii="Times New Roman" w:eastAsiaTheme="majorEastAsia" w:hAnsi="Times New Roman" w:cstheme="majorBidi"/>
      <w:b/>
      <w:color w:val="000000" w:themeColor="text1"/>
      <w:sz w:val="28"/>
      <w:szCs w:val="32"/>
    </w:rPr>
  </w:style>
  <w:style w:type="character" w:customStyle="1" w:styleId="Heading2Char">
    <w:name w:val="Heading 2 Char"/>
    <w:basedOn w:val="DefaultParagraphFont"/>
    <w:link w:val="Heading2"/>
    <w:uiPriority w:val="9"/>
    <w:rsid w:val="005F044E"/>
    <w:rPr>
      <w:rFonts w:ascii="Times New" w:eastAsiaTheme="majorEastAsia" w:hAnsi="Times New" w:cstheme="majorBidi"/>
      <w:b/>
      <w:i/>
      <w:color w:val="000000" w:themeColor="text1"/>
      <w:sz w:val="22"/>
      <w:szCs w:val="22"/>
    </w:rPr>
  </w:style>
  <w:style w:type="paragraph" w:styleId="Title">
    <w:name w:val="Title"/>
    <w:basedOn w:val="Normal"/>
    <w:next w:val="Normal"/>
    <w:link w:val="TitleChar"/>
    <w:autoRedefine/>
    <w:uiPriority w:val="10"/>
    <w:qFormat/>
    <w:rsid w:val="00F84B10"/>
    <w:pPr>
      <w:contextualSpacing/>
    </w:pPr>
    <w:rPr>
      <w:rFonts w:eastAsiaTheme="majorEastAsia" w:cstheme="majorBidi"/>
      <w:b/>
      <w:spacing w:val="-10"/>
      <w:kern w:val="28"/>
      <w:sz w:val="32"/>
      <w:szCs w:val="56"/>
    </w:rPr>
  </w:style>
  <w:style w:type="character" w:customStyle="1" w:styleId="TitleChar">
    <w:name w:val="Title Char"/>
    <w:basedOn w:val="DefaultParagraphFont"/>
    <w:link w:val="Title"/>
    <w:uiPriority w:val="10"/>
    <w:rsid w:val="00F84B10"/>
    <w:rPr>
      <w:rFonts w:ascii="Times New Roman" w:eastAsiaTheme="majorEastAsia" w:hAnsi="Times New Roman" w:cstheme="majorBidi"/>
      <w:b/>
      <w:spacing w:val="-10"/>
      <w:kern w:val="28"/>
      <w:sz w:val="32"/>
      <w:szCs w:val="56"/>
    </w:rPr>
  </w:style>
  <w:style w:type="paragraph" w:styleId="Caption">
    <w:name w:val="caption"/>
    <w:basedOn w:val="Normal"/>
    <w:next w:val="Normal"/>
    <w:uiPriority w:val="35"/>
    <w:unhideWhenUsed/>
    <w:qFormat/>
    <w:rsid w:val="00323FCD"/>
    <w:pPr>
      <w:spacing w:after="200" w:line="240" w:lineRule="auto"/>
    </w:pPr>
    <w:rPr>
      <w:b/>
      <w:iCs/>
      <w:color w:val="000000" w:themeColor="text1"/>
      <w:sz w:val="18"/>
      <w:szCs w:val="18"/>
    </w:rPr>
  </w:style>
  <w:style w:type="table" w:styleId="TableGrid">
    <w:name w:val="Table Grid"/>
    <w:basedOn w:val="TableNormal"/>
    <w:uiPriority w:val="39"/>
    <w:rsid w:val="00323F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23FCD"/>
    <w:pPr>
      <w:ind w:left="720"/>
      <w:contextualSpacing/>
    </w:pPr>
  </w:style>
  <w:style w:type="character" w:styleId="LineNumber">
    <w:name w:val="line number"/>
    <w:basedOn w:val="DefaultParagraphFont"/>
    <w:uiPriority w:val="99"/>
    <w:semiHidden/>
    <w:unhideWhenUsed/>
    <w:rsid w:val="00323FCD"/>
  </w:style>
  <w:style w:type="character" w:styleId="PlaceholderText">
    <w:name w:val="Placeholder Text"/>
    <w:basedOn w:val="DefaultParagraphFont"/>
    <w:uiPriority w:val="99"/>
    <w:semiHidden/>
    <w:rsid w:val="001F2490"/>
    <w:rPr>
      <w:color w:val="808080"/>
    </w:rPr>
  </w:style>
  <w:style w:type="paragraph" w:styleId="Footer">
    <w:name w:val="footer"/>
    <w:basedOn w:val="Normal"/>
    <w:link w:val="FooterChar"/>
    <w:uiPriority w:val="99"/>
    <w:unhideWhenUsed/>
    <w:rsid w:val="004953B0"/>
    <w:pPr>
      <w:tabs>
        <w:tab w:val="center" w:pos="4680"/>
        <w:tab w:val="right" w:pos="9360"/>
      </w:tabs>
      <w:spacing w:line="240" w:lineRule="auto"/>
    </w:pPr>
  </w:style>
  <w:style w:type="character" w:customStyle="1" w:styleId="FooterChar">
    <w:name w:val="Footer Char"/>
    <w:basedOn w:val="DefaultParagraphFont"/>
    <w:link w:val="Footer"/>
    <w:uiPriority w:val="99"/>
    <w:rsid w:val="004953B0"/>
    <w:rPr>
      <w:rFonts w:ascii="Times New Roman" w:hAnsi="Times New Roman"/>
    </w:rPr>
  </w:style>
  <w:style w:type="character" w:styleId="PageNumber">
    <w:name w:val="page number"/>
    <w:basedOn w:val="DefaultParagraphFont"/>
    <w:uiPriority w:val="99"/>
    <w:semiHidden/>
    <w:unhideWhenUsed/>
    <w:rsid w:val="004953B0"/>
  </w:style>
  <w:style w:type="character" w:styleId="Hyperlink">
    <w:name w:val="Hyperlink"/>
    <w:basedOn w:val="DefaultParagraphFont"/>
    <w:uiPriority w:val="99"/>
    <w:unhideWhenUsed/>
    <w:rsid w:val="00C911B4"/>
    <w:rPr>
      <w:color w:val="0563C1" w:themeColor="hyperlink"/>
      <w:u w:val="single"/>
    </w:rPr>
  </w:style>
  <w:style w:type="character" w:customStyle="1" w:styleId="UnresolvedMention">
    <w:name w:val="Unresolved Mention"/>
    <w:basedOn w:val="DefaultParagraphFont"/>
    <w:uiPriority w:val="99"/>
    <w:semiHidden/>
    <w:unhideWhenUsed/>
    <w:rsid w:val="00C911B4"/>
    <w:rPr>
      <w:color w:val="605E5C"/>
      <w:shd w:val="clear" w:color="auto" w:fill="E1DFDD"/>
    </w:rPr>
  </w:style>
  <w:style w:type="paragraph" w:styleId="BalloonText">
    <w:name w:val="Balloon Text"/>
    <w:basedOn w:val="Normal"/>
    <w:link w:val="BalloonTextChar"/>
    <w:uiPriority w:val="99"/>
    <w:semiHidden/>
    <w:unhideWhenUsed/>
    <w:rsid w:val="005B5DD6"/>
    <w:pPr>
      <w:spacing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5B5DD6"/>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ch2o-iso.readthedocs.io/en/latest/Setup.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5</Pages>
  <Words>1266</Words>
  <Characters>7218</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Aaron</dc:creator>
  <cp:keywords/>
  <dc:description/>
  <cp:lastModifiedBy>Janina Schulz</cp:lastModifiedBy>
  <cp:revision>9</cp:revision>
  <cp:lastPrinted>2019-02-18T10:45:00Z</cp:lastPrinted>
  <dcterms:created xsi:type="dcterms:W3CDTF">2019-05-17T08:02:00Z</dcterms:created>
  <dcterms:modified xsi:type="dcterms:W3CDTF">2019-07-24T12:18:00Z</dcterms:modified>
</cp:coreProperties>
</file>